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43FF96" w14:textId="28476CB6" w:rsidR="000768BF" w:rsidRPr="00277DE7" w:rsidRDefault="00B80B6A" w:rsidP="00B80B6A">
      <w:pPr>
        <w:pStyle w:val="Ttulo1"/>
        <w:rPr>
          <w:rFonts w:ascii="Arial Narrow" w:hAnsi="Arial Narrow" w:cstheme="minorHAnsi"/>
          <w:sz w:val="24"/>
          <w:szCs w:val="24"/>
        </w:rPr>
      </w:pPr>
      <w:bookmarkStart w:id="0" w:name="_Toc96936598"/>
      <w:r w:rsidRPr="00277DE7">
        <w:rPr>
          <w:rFonts w:ascii="Arial Narrow" w:hAnsi="Arial Narrow" w:cstheme="minorHAnsi"/>
          <w:sz w:val="24"/>
          <w:szCs w:val="24"/>
        </w:rPr>
        <w:t>Enquadramento Geral</w:t>
      </w:r>
      <w:bookmarkEnd w:id="0"/>
    </w:p>
    <w:p w14:paraId="73A1C74B" w14:textId="77777777" w:rsidR="00B80B6A" w:rsidRDefault="00B80B6A" w:rsidP="0062749F">
      <w:pPr>
        <w:spacing w:after="0" w:line="360" w:lineRule="auto"/>
        <w:jc w:val="both"/>
      </w:pPr>
    </w:p>
    <w:p w14:paraId="2F626714" w14:textId="77777777" w:rsidR="00980DA6" w:rsidRPr="003F2B7E" w:rsidRDefault="00B80B6A" w:rsidP="00210A63">
      <w:pPr>
        <w:spacing w:after="0" w:line="360" w:lineRule="auto"/>
        <w:jc w:val="both"/>
        <w:rPr>
          <w:rFonts w:cstheme="minorHAnsi"/>
        </w:rPr>
      </w:pPr>
      <w:r w:rsidRPr="003F2B7E">
        <w:rPr>
          <w:rFonts w:cstheme="minorHAnsi"/>
        </w:rPr>
        <w:t xml:space="preserve">A pandemia causada pelo vírus SARS-CoV-2, para além de representar uma emergência de saúde pública, que obrigou a respostas imediatas no plano sanitário, desencadeou uma retração generalizada da atividade económica, originando impactos sem precedentes e severas consequências de ordem económica e social à escala mundial. </w:t>
      </w:r>
    </w:p>
    <w:p w14:paraId="7C457DC3" w14:textId="77777777" w:rsidR="00980DA6" w:rsidRPr="003F2B7E" w:rsidRDefault="00980DA6" w:rsidP="00210A63">
      <w:pPr>
        <w:spacing w:after="0" w:line="360" w:lineRule="auto"/>
        <w:jc w:val="both"/>
        <w:rPr>
          <w:rFonts w:cstheme="minorHAnsi"/>
        </w:rPr>
      </w:pPr>
    </w:p>
    <w:p w14:paraId="54A1AD93" w14:textId="77777777" w:rsidR="00210A63" w:rsidRPr="003F2B7E" w:rsidRDefault="00210A63" w:rsidP="00210A63">
      <w:pPr>
        <w:autoSpaceDE w:val="0"/>
        <w:autoSpaceDN w:val="0"/>
        <w:adjustRightInd w:val="0"/>
        <w:spacing w:after="0" w:line="360" w:lineRule="auto"/>
        <w:jc w:val="both"/>
        <w:rPr>
          <w:rFonts w:cstheme="minorHAnsi"/>
          <w:color w:val="0D0D0D"/>
        </w:rPr>
      </w:pPr>
      <w:r w:rsidRPr="003F2B7E">
        <w:rPr>
          <w:rFonts w:cstheme="minorHAnsi"/>
          <w:color w:val="0D0D0D"/>
        </w:rPr>
        <w:t>Em 2020, o surto pandémico da COVID-19 afetou profundamente a vida de toda a população e representou um forte choque para a estrutura de atividades económicas e sociais, em particular nos subsetores de atividade que envolvem contactos pessoais. Setores como o da cultura estiveram praticamente encerrados durante os sucessivos estados de emergência e de confinamento, registando reduções próximas de 100% em termos de transações presenciais.</w:t>
      </w:r>
    </w:p>
    <w:p w14:paraId="28B97A54" w14:textId="62B854FF" w:rsidR="00210A63" w:rsidRPr="003F2B7E" w:rsidRDefault="00210A63" w:rsidP="00210A63">
      <w:pPr>
        <w:autoSpaceDE w:val="0"/>
        <w:autoSpaceDN w:val="0"/>
        <w:adjustRightInd w:val="0"/>
        <w:spacing w:after="0" w:line="360" w:lineRule="auto"/>
        <w:jc w:val="both"/>
        <w:rPr>
          <w:rFonts w:cstheme="minorHAnsi"/>
          <w:color w:val="000000"/>
        </w:rPr>
      </w:pPr>
      <w:r w:rsidRPr="003F2B7E">
        <w:rPr>
          <w:rFonts w:cstheme="minorHAnsi"/>
          <w:color w:val="0D0D0D"/>
        </w:rPr>
        <w:t xml:space="preserve"> </w:t>
      </w:r>
    </w:p>
    <w:p w14:paraId="2C4F7B0C" w14:textId="35AA7BFD" w:rsidR="00210A63" w:rsidRPr="003F2B7E" w:rsidRDefault="00210A63" w:rsidP="00210A63">
      <w:pPr>
        <w:autoSpaceDE w:val="0"/>
        <w:autoSpaceDN w:val="0"/>
        <w:adjustRightInd w:val="0"/>
        <w:spacing w:after="0" w:line="360" w:lineRule="auto"/>
        <w:jc w:val="both"/>
        <w:rPr>
          <w:rFonts w:cstheme="minorHAnsi"/>
        </w:rPr>
      </w:pPr>
      <w:r w:rsidRPr="003F2B7E">
        <w:rPr>
          <w:rFonts w:cstheme="minorHAnsi"/>
          <w:color w:val="0D0D0D"/>
        </w:rPr>
        <w:t xml:space="preserve">O encerramento de museus, teatros, bibliotecas e salas de cinema, entre muitos outros equipamentos, perturbou profundamente as bases normais de uma participação cultural plena, mas, mais que isso, abalou a vida de todos aqueles que trabalham no setor da cultura e das indústrias criativas. Este setor enfrentou, e continua a enfrentar, uma conjuntura particularmente complexa, seja pelos novos desafios causados por esta pandemia, seja pelos problemas anteriores que esta situação veio agudizar. Esta situação impediu, por um lado, que os profissionais de cultura desenvolvessem a sua atividade nos moldes habituais e, por outro, impossibilitou a normal fruição cultural das populações. </w:t>
      </w:r>
    </w:p>
    <w:p w14:paraId="23E49401" w14:textId="77777777" w:rsidR="00210A63" w:rsidRPr="003F2B7E" w:rsidRDefault="00210A63" w:rsidP="00DB2B90">
      <w:pPr>
        <w:spacing w:after="0" w:line="360" w:lineRule="auto"/>
        <w:jc w:val="both"/>
        <w:rPr>
          <w:rFonts w:cstheme="minorHAnsi"/>
        </w:rPr>
      </w:pPr>
    </w:p>
    <w:p w14:paraId="6747F788" w14:textId="4F1641BB" w:rsidR="000768BF" w:rsidRPr="003F2B7E" w:rsidRDefault="00B80B6A" w:rsidP="00DB2B90">
      <w:pPr>
        <w:spacing w:after="0" w:line="360" w:lineRule="auto"/>
        <w:jc w:val="both"/>
        <w:rPr>
          <w:rFonts w:cstheme="minorHAnsi"/>
        </w:rPr>
      </w:pPr>
      <w:r w:rsidRPr="003F2B7E">
        <w:rPr>
          <w:rFonts w:cstheme="minorHAnsi"/>
        </w:rPr>
        <w:t>Foi neste contexto que o Conselho Europeu criou o Next Generation EU, um instrumento temporário de recuperação, a partir do qual se desenvolverá o Mecanismo de Recuperação e Resiliência, onde se enquadra o Plano de Recuperação e Resiliência</w:t>
      </w:r>
      <w:r w:rsidR="00DB2B90" w:rsidRPr="003F2B7E">
        <w:rPr>
          <w:rFonts w:cstheme="minorHAnsi"/>
        </w:rPr>
        <w:t xml:space="preserve"> (PRR).</w:t>
      </w:r>
    </w:p>
    <w:p w14:paraId="0B1DCD5E" w14:textId="77777777" w:rsidR="00DB2B90" w:rsidRPr="003F2B7E" w:rsidRDefault="00DB2B90" w:rsidP="00DB2B90">
      <w:pPr>
        <w:spacing w:after="0" w:line="360" w:lineRule="auto"/>
        <w:jc w:val="both"/>
        <w:rPr>
          <w:rFonts w:cstheme="minorHAnsi"/>
        </w:rPr>
      </w:pPr>
    </w:p>
    <w:p w14:paraId="6FF8CC8E" w14:textId="77777777" w:rsidR="001503DF" w:rsidRDefault="00DB2B90" w:rsidP="00DB2B90">
      <w:pPr>
        <w:spacing w:after="0" w:line="360" w:lineRule="auto"/>
        <w:jc w:val="both"/>
        <w:rPr>
          <w:rStyle w:val="nfase"/>
          <w:rFonts w:cstheme="minorHAnsi"/>
          <w:i w:val="0"/>
          <w:iCs w:val="0"/>
          <w:shd w:val="clear" w:color="auto" w:fill="FFFFFF"/>
        </w:rPr>
      </w:pPr>
      <w:r w:rsidRPr="002C5CC0">
        <w:rPr>
          <w:rFonts w:cstheme="minorHAnsi"/>
        </w:rPr>
        <w:t>O PRR português é um programa de aplicação nacional, com um período de execução até 2026, e vai implementar um conjunto de reformas e de investimentos que permitirá ao país retomar o crescimento económico sustentado, reforçando o objetivo de convergência com a Europa ao longo da próxima década.</w:t>
      </w:r>
      <w:r w:rsidR="003F2B7E" w:rsidRPr="002C5CC0">
        <w:rPr>
          <w:rFonts w:cstheme="minorHAnsi"/>
        </w:rPr>
        <w:t xml:space="preserve"> </w:t>
      </w:r>
      <w:r w:rsidR="005062FC" w:rsidRPr="001503DF">
        <w:rPr>
          <w:rStyle w:val="nfase"/>
          <w:rFonts w:cstheme="minorHAnsi"/>
          <w:i w:val="0"/>
          <w:iCs w:val="0"/>
          <w:shd w:val="clear" w:color="auto" w:fill="FFFFFF"/>
        </w:rPr>
        <w:t>Será financiado por recursos totais de 16,6 mil M€, distribuídos por cerca de 14 mil M€ de subvenções e 2,7 mil M€ de empréstimos, e com um perfil de desembolsos que permitirá</w:t>
      </w:r>
      <w:r w:rsidR="005062FC" w:rsidRPr="00595D41">
        <w:rPr>
          <w:rStyle w:val="nfase"/>
          <w:rFonts w:cstheme="minorHAnsi"/>
          <w:i w:val="0"/>
          <w:iCs w:val="0"/>
          <w:shd w:val="clear" w:color="auto" w:fill="FFFFFF"/>
        </w:rPr>
        <w:t xml:space="preserve"> a liquidez necessária para que o PRR funcione como instrumento efetivo de reposta à crise.</w:t>
      </w:r>
    </w:p>
    <w:p w14:paraId="66E88F82" w14:textId="04529A5E" w:rsidR="005062FC" w:rsidRPr="00595D41" w:rsidRDefault="005062FC" w:rsidP="00DB2B90">
      <w:pPr>
        <w:spacing w:after="0" w:line="360" w:lineRule="auto"/>
        <w:jc w:val="both"/>
        <w:rPr>
          <w:rFonts w:cstheme="minorHAnsi"/>
          <w:i/>
          <w:iCs/>
        </w:rPr>
      </w:pPr>
      <w:r w:rsidRPr="00595D41">
        <w:rPr>
          <w:rStyle w:val="nfase"/>
          <w:rFonts w:cstheme="minorHAnsi"/>
          <w:i w:val="0"/>
          <w:iCs w:val="0"/>
          <w:shd w:val="clear" w:color="auto" w:fill="FFFFFF"/>
        </w:rPr>
        <w:lastRenderedPageBreak/>
        <w:t>O PRR assume-se como um dos instrumentos de financiamento de uma Estratégia global mais vasta que cobre um horizonte temporal mais alargado – a Estratégia 2030, que define para a corrente década, uma visão do país em termos económicos, sociais e ambientais. Desta forma, o PRR, desenhado de acordo com os requisitos estabelecidos para este instrumento comunitário, está alinhado e responde às quatro agendas estratégicas da Estratégia 2030, constituindo-se uma das suas fontes de financiamento mais relevantes</w:t>
      </w:r>
      <w:r w:rsidR="003F2B7E" w:rsidRPr="00595D41">
        <w:rPr>
          <w:rStyle w:val="nfase"/>
          <w:rFonts w:cstheme="minorHAnsi"/>
          <w:i w:val="0"/>
          <w:iCs w:val="0"/>
          <w:shd w:val="clear" w:color="auto" w:fill="FFFFFF"/>
        </w:rPr>
        <w:t>.</w:t>
      </w:r>
    </w:p>
    <w:p w14:paraId="74B0E227" w14:textId="77777777" w:rsidR="005062FC" w:rsidRPr="00595D41" w:rsidRDefault="005062FC" w:rsidP="00DB2B90">
      <w:pPr>
        <w:spacing w:after="0" w:line="360" w:lineRule="auto"/>
        <w:jc w:val="both"/>
        <w:rPr>
          <w:rFonts w:cstheme="minorHAnsi"/>
          <w:i/>
          <w:iCs/>
        </w:rPr>
      </w:pPr>
    </w:p>
    <w:p w14:paraId="778D4937" w14:textId="37C23006" w:rsidR="00DB2B90" w:rsidRPr="003F2B7E" w:rsidRDefault="00DB2B90" w:rsidP="00DB2B90">
      <w:pPr>
        <w:spacing w:after="0" w:line="360" w:lineRule="auto"/>
        <w:jc w:val="both"/>
        <w:rPr>
          <w:rFonts w:cstheme="minorHAnsi"/>
        </w:rPr>
      </w:pPr>
      <w:r w:rsidRPr="00595D41">
        <w:rPr>
          <w:rFonts w:cstheme="minorHAnsi"/>
          <w:i/>
          <w:iCs/>
        </w:rPr>
        <w:t>As vinte componentes e as respetivas reformas e investimentos estão agrupadas no PRR em torno de três dimensões estruturantes: a Resiliência, a Transição Climática e a Transição Digital. As transições gémeas</w:t>
      </w:r>
      <w:r w:rsidRPr="003F2B7E">
        <w:rPr>
          <w:rFonts w:cstheme="minorHAnsi"/>
        </w:rPr>
        <w:t xml:space="preserve"> relativas ao clima e ao digital representam uma absorção de financiamentos de 33% do total do programa, enquanto a dimensão Resiliência, que engloba a vertente das vulnerabilidades sociais, a resiliência económica e a resiliência territorial, absorve 2/3 dos recursos do PRR.</w:t>
      </w:r>
    </w:p>
    <w:p w14:paraId="3390FD6C" w14:textId="77777777" w:rsidR="00180A62" w:rsidRPr="003F2B7E" w:rsidRDefault="00180A62" w:rsidP="0062749F">
      <w:pPr>
        <w:spacing w:after="0" w:line="360" w:lineRule="auto"/>
        <w:jc w:val="both"/>
        <w:rPr>
          <w:rFonts w:cstheme="minorHAnsi"/>
        </w:rPr>
      </w:pPr>
    </w:p>
    <w:p w14:paraId="392F5DB9" w14:textId="77A8C985" w:rsidR="00DB2B90" w:rsidRPr="003F2B7E" w:rsidRDefault="000D5972" w:rsidP="0062749F">
      <w:pPr>
        <w:spacing w:after="0" w:line="360" w:lineRule="auto"/>
        <w:jc w:val="both"/>
        <w:rPr>
          <w:rFonts w:cstheme="minorHAnsi"/>
        </w:rPr>
      </w:pPr>
      <w:r w:rsidRPr="003F2B7E">
        <w:rPr>
          <w:rFonts w:cstheme="minorHAnsi"/>
        </w:rPr>
        <w:t xml:space="preserve">Enquadrado na dimensão Resiliência, </w:t>
      </w:r>
      <w:r w:rsidR="00980DA6" w:rsidRPr="003F2B7E">
        <w:rPr>
          <w:rFonts w:cstheme="minorHAnsi"/>
        </w:rPr>
        <w:t>a</w:t>
      </w:r>
      <w:r w:rsidR="00180A62" w:rsidRPr="003F2B7E">
        <w:rPr>
          <w:rFonts w:cstheme="minorHAnsi"/>
        </w:rPr>
        <w:t xml:space="preserve"> componente (C4)</w:t>
      </w:r>
      <w:r w:rsidR="00980DA6" w:rsidRPr="003F2B7E">
        <w:rPr>
          <w:rFonts w:cstheme="minorHAnsi"/>
        </w:rPr>
        <w:t xml:space="preserve"> Cultura </w:t>
      </w:r>
      <w:r w:rsidR="00180A62" w:rsidRPr="003F2B7E">
        <w:rPr>
          <w:rFonts w:cstheme="minorHAnsi"/>
        </w:rPr>
        <w:t>inclui investimentos em redes culturais, na transição digital (plataformas e conteúdos) e na valorização, modernização e requalificação de equipamentos e Património Cultural. Neste sentido, o impacto estimado reflete essencialmente o efeito nas infraestruturas culturais, fruto do investimento público associado.</w:t>
      </w:r>
    </w:p>
    <w:p w14:paraId="6B2A8DFD" w14:textId="5A962296" w:rsidR="000768BF" w:rsidRPr="003F2B7E" w:rsidRDefault="000768BF" w:rsidP="0062749F">
      <w:pPr>
        <w:spacing w:after="0" w:line="360" w:lineRule="auto"/>
        <w:jc w:val="both"/>
        <w:rPr>
          <w:rFonts w:cstheme="minorHAnsi"/>
        </w:rPr>
      </w:pPr>
    </w:p>
    <w:p w14:paraId="58B4AD93" w14:textId="2673B659" w:rsidR="00595D41" w:rsidRDefault="00595D41" w:rsidP="00595D41">
      <w:pPr>
        <w:spacing w:after="0" w:line="360" w:lineRule="auto"/>
        <w:jc w:val="both"/>
        <w:rPr>
          <w:rFonts w:cstheme="minorHAnsi"/>
        </w:rPr>
      </w:pPr>
      <w:r w:rsidRPr="003F2B7E">
        <w:rPr>
          <w:rFonts w:cstheme="minorHAnsi"/>
        </w:rPr>
        <w:t>Esta componente de investimento permitirá dotar o setor de uma maior sustentabilidade financeira e económica, aumentando a sua resiliência e tornando-o mais resistente a choques futuros. A capacitação do setor incrementa a sua diferenciação, o que levará à melhoria da sua performance e à criação de novas dinâmicas e novos negócios. Este paradigma é condição para que o setor seja mais resiliente face a choques como aquele que a atual crise provocou.</w:t>
      </w:r>
    </w:p>
    <w:p w14:paraId="402734EC" w14:textId="77777777" w:rsidR="00595D41" w:rsidRPr="003F2B7E" w:rsidRDefault="00595D41" w:rsidP="00595D41">
      <w:pPr>
        <w:spacing w:after="0" w:line="360" w:lineRule="auto"/>
        <w:jc w:val="both"/>
        <w:rPr>
          <w:rFonts w:cstheme="minorHAnsi"/>
        </w:rPr>
      </w:pPr>
    </w:p>
    <w:p w14:paraId="5FCC0D45" w14:textId="4A0E5097" w:rsidR="00980DA6" w:rsidRPr="003F2B7E" w:rsidRDefault="00980DA6" w:rsidP="00980DA6">
      <w:pPr>
        <w:spacing w:after="0" w:line="360" w:lineRule="auto"/>
        <w:jc w:val="both"/>
        <w:rPr>
          <w:rFonts w:cstheme="minorHAnsi"/>
        </w:rPr>
      </w:pPr>
      <w:r w:rsidRPr="003F2B7E">
        <w:rPr>
          <w:rFonts w:cstheme="minorHAnsi"/>
        </w:rPr>
        <w:t>Assim, esta componente visa abordar desafios específic</w:t>
      </w:r>
      <w:r w:rsidR="00595D41">
        <w:rPr>
          <w:rFonts w:cstheme="minorHAnsi"/>
        </w:rPr>
        <w:t>o</w:t>
      </w:r>
      <w:r w:rsidRPr="003F2B7E">
        <w:rPr>
          <w:rFonts w:cstheme="minorHAnsi"/>
        </w:rPr>
        <w:t>s:</w:t>
      </w:r>
    </w:p>
    <w:p w14:paraId="1E11AA2B" w14:textId="784152F1" w:rsidR="00980DA6" w:rsidRPr="003F2B7E" w:rsidRDefault="00980DA6" w:rsidP="00980DA6">
      <w:pPr>
        <w:pStyle w:val="PargrafodaLista"/>
        <w:numPr>
          <w:ilvl w:val="0"/>
          <w:numId w:val="31"/>
        </w:numPr>
        <w:spacing w:after="0" w:line="360" w:lineRule="auto"/>
        <w:jc w:val="both"/>
        <w:rPr>
          <w:rFonts w:cstheme="minorHAnsi"/>
        </w:rPr>
      </w:pPr>
      <w:r w:rsidRPr="003F2B7E">
        <w:rPr>
          <w:rFonts w:cstheme="minorHAnsi"/>
        </w:rPr>
        <w:t>Promoção da transição digital das redes culturais através da sua modernização tecnológica e da digitalização de artes, literatura e património, num montante de € 92,8 Milhões;</w:t>
      </w:r>
    </w:p>
    <w:p w14:paraId="4CB9C21D" w14:textId="75E83207" w:rsidR="000768BF" w:rsidRPr="003F2B7E" w:rsidRDefault="00980DA6" w:rsidP="00277DE7">
      <w:pPr>
        <w:pStyle w:val="PargrafodaLista"/>
        <w:numPr>
          <w:ilvl w:val="0"/>
          <w:numId w:val="31"/>
        </w:numPr>
        <w:spacing w:after="0" w:line="360" w:lineRule="auto"/>
        <w:jc w:val="both"/>
        <w:rPr>
          <w:rFonts w:cstheme="minorHAnsi"/>
        </w:rPr>
      </w:pPr>
      <w:r w:rsidRPr="003F2B7E">
        <w:rPr>
          <w:rFonts w:cstheme="minorHAnsi"/>
        </w:rPr>
        <w:t xml:space="preserve">Valorização, salvaguarda e dinamização do património cultural, no sentido amplo de património cultural material, imaterial e natural, num montante de € </w:t>
      </w:r>
      <w:r w:rsidR="00CA7570" w:rsidRPr="003F2B7E">
        <w:rPr>
          <w:rFonts w:cstheme="minorHAnsi"/>
        </w:rPr>
        <w:t>150,5 Milhões</w:t>
      </w:r>
    </w:p>
    <w:p w14:paraId="3C8F1705" w14:textId="77777777" w:rsidR="005062FC" w:rsidRPr="003F2B7E" w:rsidRDefault="005062FC" w:rsidP="005062FC">
      <w:pPr>
        <w:pStyle w:val="Default"/>
        <w:spacing w:line="360" w:lineRule="auto"/>
        <w:jc w:val="both"/>
        <w:rPr>
          <w:rFonts w:asciiTheme="minorHAnsi" w:hAnsiTheme="minorHAnsi" w:cstheme="minorHAnsi"/>
          <w:color w:val="auto"/>
          <w:sz w:val="22"/>
          <w:szCs w:val="22"/>
        </w:rPr>
      </w:pPr>
    </w:p>
    <w:p w14:paraId="587301D7" w14:textId="211EC2EF" w:rsidR="005062FC" w:rsidRPr="003F2B7E" w:rsidRDefault="005062FC" w:rsidP="005062FC">
      <w:pPr>
        <w:pStyle w:val="Default"/>
        <w:spacing w:line="360" w:lineRule="auto"/>
        <w:jc w:val="both"/>
        <w:rPr>
          <w:rFonts w:asciiTheme="minorHAnsi" w:hAnsiTheme="minorHAnsi" w:cstheme="minorHAnsi"/>
          <w:color w:val="auto"/>
          <w:sz w:val="22"/>
          <w:szCs w:val="22"/>
        </w:rPr>
      </w:pPr>
      <w:r w:rsidRPr="003F2B7E">
        <w:rPr>
          <w:rFonts w:asciiTheme="minorHAnsi" w:hAnsiTheme="minorHAnsi" w:cstheme="minorHAnsi"/>
          <w:color w:val="auto"/>
          <w:sz w:val="22"/>
          <w:szCs w:val="22"/>
        </w:rPr>
        <w:t xml:space="preserve">Nos termos do disposto na alínea b) do n.º 5 do artigo 9.º do Decreto-Lei n.º 29-B/2021, de 4 de maio, o Gabinete de Estratégia, Planeamento e Avaliação Culturais, abreviadamente, GEPAC, constitui-se como «Beneficiário Intermediário», sendo uma das entidades públicas globalmente responsáveis pela </w:t>
      </w:r>
      <w:r w:rsidRPr="003F2B7E">
        <w:rPr>
          <w:rFonts w:asciiTheme="minorHAnsi" w:hAnsiTheme="minorHAnsi" w:cstheme="minorHAnsi"/>
          <w:color w:val="auto"/>
          <w:sz w:val="22"/>
          <w:szCs w:val="22"/>
        </w:rPr>
        <w:lastRenderedPageBreak/>
        <w:t>implementação física e financeira das reformas e de investimentos inscritos na Componente 4 Cultura do PRR</w:t>
      </w:r>
      <w:r w:rsidRPr="003F2B7E">
        <w:rPr>
          <w:rFonts w:asciiTheme="minorHAnsi" w:hAnsiTheme="minorHAnsi" w:cstheme="minorHAnsi"/>
          <w:color w:val="auto"/>
          <w:sz w:val="22"/>
          <w:szCs w:val="22"/>
        </w:rPr>
        <w:t xml:space="preserve">, </w:t>
      </w:r>
      <w:r w:rsidR="003F2B7E">
        <w:rPr>
          <w:rFonts w:asciiTheme="minorHAnsi" w:hAnsiTheme="minorHAnsi" w:cstheme="minorHAnsi"/>
          <w:color w:val="auto"/>
          <w:sz w:val="22"/>
          <w:szCs w:val="22"/>
        </w:rPr>
        <w:t>competindo-lhe a operacionalização d</w:t>
      </w:r>
      <w:r w:rsidRPr="003F2B7E">
        <w:rPr>
          <w:rFonts w:asciiTheme="minorHAnsi" w:hAnsiTheme="minorHAnsi" w:cstheme="minorHAnsi"/>
          <w:color w:val="auto"/>
          <w:sz w:val="22"/>
          <w:szCs w:val="22"/>
        </w:rPr>
        <w:t xml:space="preserve">a </w:t>
      </w:r>
      <w:r w:rsidRPr="003F2B7E">
        <w:rPr>
          <w:rFonts w:asciiTheme="minorHAnsi" w:hAnsiTheme="minorHAnsi" w:cstheme="minorHAnsi"/>
          <w:sz w:val="22"/>
          <w:szCs w:val="22"/>
        </w:rPr>
        <w:t>componente de Investimento</w:t>
      </w:r>
      <w:r w:rsidR="003F2B7E">
        <w:rPr>
          <w:rFonts w:asciiTheme="minorHAnsi" w:hAnsiTheme="minorHAnsi" w:cstheme="minorHAnsi"/>
          <w:sz w:val="22"/>
          <w:szCs w:val="22"/>
        </w:rPr>
        <w:t xml:space="preserve"> </w:t>
      </w:r>
      <w:r w:rsidRPr="003F2B7E">
        <w:rPr>
          <w:rFonts w:asciiTheme="minorHAnsi" w:hAnsiTheme="minorHAnsi" w:cstheme="minorHAnsi"/>
          <w:sz w:val="22"/>
          <w:szCs w:val="22"/>
        </w:rPr>
        <w:t>RE-C04-i01</w:t>
      </w:r>
      <w:r w:rsidR="003F2B7E">
        <w:rPr>
          <w:rFonts w:asciiTheme="minorHAnsi" w:hAnsiTheme="minorHAnsi" w:cstheme="minorHAnsi"/>
          <w:sz w:val="22"/>
          <w:szCs w:val="22"/>
        </w:rPr>
        <w:t xml:space="preserve"> </w:t>
      </w:r>
      <w:r w:rsidRPr="003F2B7E">
        <w:rPr>
          <w:rFonts w:asciiTheme="minorHAnsi" w:hAnsiTheme="minorHAnsi" w:cstheme="minorHAnsi"/>
          <w:sz w:val="22"/>
          <w:szCs w:val="22"/>
        </w:rPr>
        <w:t>“Redes Culturais e Transição Digital”,</w:t>
      </w:r>
    </w:p>
    <w:p w14:paraId="4F1A8BF1" w14:textId="77777777" w:rsidR="005062FC" w:rsidRPr="003F2B7E" w:rsidRDefault="005062FC" w:rsidP="005062FC">
      <w:pPr>
        <w:pStyle w:val="Default"/>
        <w:spacing w:line="360" w:lineRule="auto"/>
        <w:jc w:val="both"/>
        <w:rPr>
          <w:rFonts w:asciiTheme="minorHAnsi" w:hAnsiTheme="minorHAnsi" w:cstheme="minorHAnsi"/>
          <w:sz w:val="22"/>
          <w:szCs w:val="22"/>
        </w:rPr>
      </w:pPr>
    </w:p>
    <w:p w14:paraId="48777989" w14:textId="71FC1707" w:rsidR="005062FC" w:rsidRPr="003F2B7E" w:rsidRDefault="00595D41" w:rsidP="005062FC">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Com este propósito</w:t>
      </w:r>
      <w:r w:rsidR="005062FC" w:rsidRPr="003F2B7E">
        <w:rPr>
          <w:rFonts w:asciiTheme="minorHAnsi" w:hAnsiTheme="minorHAnsi" w:cstheme="minorHAnsi"/>
          <w:sz w:val="22"/>
          <w:szCs w:val="22"/>
        </w:rPr>
        <w:t>, fo</w:t>
      </w:r>
      <w:r w:rsidR="005062FC" w:rsidRPr="003F2B7E">
        <w:rPr>
          <w:rFonts w:asciiTheme="minorHAnsi" w:hAnsiTheme="minorHAnsi" w:cstheme="minorHAnsi"/>
          <w:sz w:val="22"/>
          <w:szCs w:val="22"/>
        </w:rPr>
        <w:t>i assinado o contrato de financiamento entre a Estrutura de Missão Recuperar Portugal (EMRP) e o GEPAC no dia 21 de outubro de 2021, no qual se prevê a concessão do apoio financeiro destinado a financiar a realização d</w:t>
      </w:r>
      <w:r>
        <w:rPr>
          <w:rFonts w:asciiTheme="minorHAnsi" w:hAnsiTheme="minorHAnsi" w:cstheme="minorHAnsi"/>
          <w:sz w:val="22"/>
          <w:szCs w:val="22"/>
        </w:rPr>
        <w:t>a Componente</w:t>
      </w:r>
      <w:r w:rsidR="005062FC" w:rsidRPr="003F2B7E">
        <w:rPr>
          <w:rFonts w:asciiTheme="minorHAnsi" w:hAnsiTheme="minorHAnsi" w:cstheme="minorHAnsi"/>
          <w:sz w:val="22"/>
          <w:szCs w:val="22"/>
        </w:rPr>
        <w:t xml:space="preserve"> Investimento RE-C04-i01, designado por “Redes Culturais e Transição Digital”, enquadrado na Componente C04 – Cultura, do Plano de Recuperação e Resiliência (PRR).</w:t>
      </w:r>
    </w:p>
    <w:p w14:paraId="3E45B76D" w14:textId="77777777" w:rsidR="005062FC" w:rsidRPr="003F2B7E" w:rsidRDefault="005062FC" w:rsidP="00277DE7">
      <w:pPr>
        <w:pStyle w:val="Default"/>
        <w:spacing w:line="360" w:lineRule="auto"/>
        <w:jc w:val="both"/>
        <w:rPr>
          <w:rFonts w:asciiTheme="minorHAnsi" w:hAnsiTheme="minorHAnsi" w:cstheme="minorHAnsi"/>
          <w:sz w:val="22"/>
          <w:szCs w:val="22"/>
        </w:rPr>
      </w:pPr>
    </w:p>
    <w:p w14:paraId="2E590A80" w14:textId="21DFF502" w:rsidR="00210A63" w:rsidRPr="003F2B7E" w:rsidRDefault="00277DE7" w:rsidP="00277DE7">
      <w:pPr>
        <w:autoSpaceDE w:val="0"/>
        <w:autoSpaceDN w:val="0"/>
        <w:adjustRightInd w:val="0"/>
        <w:spacing w:after="0" w:line="360" w:lineRule="auto"/>
        <w:jc w:val="both"/>
        <w:rPr>
          <w:rFonts w:cstheme="minorHAnsi"/>
          <w:color w:val="000000"/>
        </w:rPr>
      </w:pPr>
      <w:r w:rsidRPr="003F2B7E">
        <w:rPr>
          <w:rFonts w:cstheme="minorHAnsi"/>
          <w:color w:val="000000"/>
        </w:rPr>
        <w:t>Esta componente de</w:t>
      </w:r>
      <w:r w:rsidR="00210A63" w:rsidRPr="003F2B7E">
        <w:rPr>
          <w:rFonts w:cstheme="minorHAnsi"/>
          <w:color w:val="000000"/>
        </w:rPr>
        <w:t xml:space="preserve"> </w:t>
      </w:r>
      <w:r w:rsidRPr="003F2B7E">
        <w:rPr>
          <w:rFonts w:cstheme="minorHAnsi"/>
          <w:color w:val="000000"/>
        </w:rPr>
        <w:t xml:space="preserve">investimento </w:t>
      </w:r>
      <w:r w:rsidR="001503DF">
        <w:rPr>
          <w:rFonts w:cstheme="minorHAnsi"/>
          <w:color w:val="000000"/>
        </w:rPr>
        <w:t xml:space="preserve">subdivide-se em três </w:t>
      </w:r>
      <w:r w:rsidR="00142110">
        <w:rPr>
          <w:rFonts w:cstheme="minorHAnsi"/>
          <w:color w:val="000000"/>
        </w:rPr>
        <w:t>M</w:t>
      </w:r>
      <w:r w:rsidR="001503DF">
        <w:rPr>
          <w:rFonts w:cstheme="minorHAnsi"/>
          <w:color w:val="000000"/>
        </w:rPr>
        <w:t>edidas:</w:t>
      </w:r>
      <w:r w:rsidR="00210A63" w:rsidRPr="003F2B7E">
        <w:rPr>
          <w:rFonts w:cstheme="minorHAnsi"/>
          <w:color w:val="000000"/>
        </w:rPr>
        <w:t xml:space="preserve"> </w:t>
      </w:r>
    </w:p>
    <w:p w14:paraId="28F48C42" w14:textId="222409D3" w:rsidR="00210A63" w:rsidRPr="003F2B7E" w:rsidRDefault="00210A63" w:rsidP="00277DE7">
      <w:pPr>
        <w:pStyle w:val="PargrafodaLista"/>
        <w:numPr>
          <w:ilvl w:val="0"/>
          <w:numId w:val="32"/>
        </w:numPr>
        <w:autoSpaceDE w:val="0"/>
        <w:autoSpaceDN w:val="0"/>
        <w:adjustRightInd w:val="0"/>
        <w:spacing w:after="0" w:line="360" w:lineRule="auto"/>
        <w:jc w:val="both"/>
        <w:rPr>
          <w:rFonts w:cstheme="minorHAnsi"/>
          <w:color w:val="000000"/>
        </w:rPr>
      </w:pPr>
      <w:r w:rsidRPr="003F2B7E">
        <w:rPr>
          <w:rFonts w:cstheme="minorHAnsi"/>
          <w:color w:val="000000"/>
        </w:rPr>
        <w:t xml:space="preserve">A </w:t>
      </w:r>
      <w:r w:rsidRPr="00595D41">
        <w:rPr>
          <w:rFonts w:cstheme="minorHAnsi"/>
          <w:b/>
          <w:bCs/>
          <w:color w:val="000000"/>
        </w:rPr>
        <w:t>modernização da infraestrutura tecnológica da rede de equipamentos culturais</w:t>
      </w:r>
      <w:r w:rsidRPr="003F2B7E">
        <w:rPr>
          <w:rFonts w:cstheme="minorHAnsi"/>
          <w:color w:val="000000"/>
        </w:rPr>
        <w:t xml:space="preserve"> – teatros, cineteatros, cinemateca, museus, centros de arte, bibliotecas, Torre do Tombo, Biblioteca Nacional, laboratórios de conservação e restauro, Arquivo Nacional da Imagem em Movimento, instalação do Arquivo Nacional do Som – públicos, de âmbito nacional e municipal. Este investimento a nível nacional permitirá capacitar tecnologicamente a rede de equipamentos culturais, quer ao nível de software, hardware e de recursos qualificados, apoiando a transição digital da rede de equipamentos públicos de cultura</w:t>
      </w:r>
      <w:r w:rsidR="00277DE7" w:rsidRPr="003F2B7E">
        <w:rPr>
          <w:rFonts w:cstheme="minorHAnsi"/>
          <w:color w:val="000000"/>
        </w:rPr>
        <w:t>;</w:t>
      </w:r>
    </w:p>
    <w:p w14:paraId="16DFB848" w14:textId="30F69FC1" w:rsidR="00277DE7" w:rsidRPr="003F2B7E" w:rsidRDefault="00210A63" w:rsidP="00277DE7">
      <w:pPr>
        <w:pStyle w:val="PargrafodaLista"/>
        <w:numPr>
          <w:ilvl w:val="0"/>
          <w:numId w:val="32"/>
        </w:numPr>
        <w:autoSpaceDE w:val="0"/>
        <w:autoSpaceDN w:val="0"/>
        <w:adjustRightInd w:val="0"/>
        <w:spacing w:after="0" w:line="360" w:lineRule="auto"/>
        <w:jc w:val="both"/>
        <w:rPr>
          <w:rFonts w:cstheme="minorHAnsi"/>
          <w:color w:val="000000"/>
        </w:rPr>
      </w:pPr>
      <w:r w:rsidRPr="003F2B7E">
        <w:rPr>
          <w:rFonts w:cstheme="minorHAnsi"/>
          <w:color w:val="000000"/>
        </w:rPr>
        <w:t xml:space="preserve">A </w:t>
      </w:r>
      <w:r w:rsidRPr="00595D41">
        <w:rPr>
          <w:rFonts w:cstheme="minorHAnsi"/>
          <w:b/>
          <w:bCs/>
          <w:color w:val="000000"/>
        </w:rPr>
        <w:t>digitalização de artes e património</w:t>
      </w:r>
      <w:r w:rsidRPr="003F2B7E">
        <w:rPr>
          <w:rFonts w:cstheme="minorHAnsi"/>
          <w:color w:val="000000"/>
        </w:rPr>
        <w:t xml:space="preserve"> - cinema, teatro, artes plásticas, música, dança, livros, fotografia, património sonoro, arquivos históricos. É necessário incrementar a </w:t>
      </w:r>
      <w:r w:rsidR="00277DE7" w:rsidRPr="003F2B7E">
        <w:rPr>
          <w:rFonts w:cstheme="minorHAnsi"/>
          <w:color w:val="000000"/>
        </w:rPr>
        <w:t>taxa de digitalização de obras artísticas e de património cultural em Portugal, em especial na arte contemporânea, no património cultural (em particular nos museus e monumentos nacionais) e no cinema, o que permitirá melhorar a experiência do público e assegurar a preservação futura de obras de arte e de património cultural;</w:t>
      </w:r>
    </w:p>
    <w:p w14:paraId="1FAD5004" w14:textId="6F498681" w:rsidR="00277DE7" w:rsidRDefault="00277DE7" w:rsidP="00277DE7">
      <w:pPr>
        <w:pStyle w:val="PargrafodaLista"/>
        <w:numPr>
          <w:ilvl w:val="0"/>
          <w:numId w:val="32"/>
        </w:numPr>
        <w:autoSpaceDE w:val="0"/>
        <w:autoSpaceDN w:val="0"/>
        <w:adjustRightInd w:val="0"/>
        <w:spacing w:after="0" w:line="360" w:lineRule="auto"/>
        <w:jc w:val="both"/>
        <w:rPr>
          <w:rFonts w:cstheme="minorHAnsi"/>
          <w:color w:val="000000"/>
        </w:rPr>
      </w:pPr>
      <w:r w:rsidRPr="003F2B7E">
        <w:rPr>
          <w:rFonts w:cstheme="minorHAnsi"/>
          <w:color w:val="000000"/>
        </w:rPr>
        <w:t xml:space="preserve">A </w:t>
      </w:r>
      <w:r w:rsidRPr="00595D41">
        <w:rPr>
          <w:rFonts w:cstheme="minorHAnsi"/>
          <w:b/>
          <w:bCs/>
          <w:color w:val="000000"/>
        </w:rPr>
        <w:t>internacionalização, a modernização e a transição digital do livro e dos autores</w:t>
      </w:r>
      <w:r w:rsidRPr="003F2B7E">
        <w:rPr>
          <w:rFonts w:cstheme="minorHAnsi"/>
          <w:color w:val="000000"/>
        </w:rPr>
        <w:t xml:space="preserve"> - apoio à língua portuguesa e aos agentes ligados à cadeia de produção e comercialização do livro, isto é, autores, editores e livrarias, através do apoio à tradução de obras literárias, à edição de audiobooks e ebooks, bem como à modernização e transição digital das livrarias.</w:t>
      </w:r>
    </w:p>
    <w:p w14:paraId="72BA041D" w14:textId="3079C17F" w:rsidR="003F2B7E" w:rsidRDefault="003F2B7E" w:rsidP="003F2B7E">
      <w:pPr>
        <w:autoSpaceDE w:val="0"/>
        <w:autoSpaceDN w:val="0"/>
        <w:adjustRightInd w:val="0"/>
        <w:spacing w:after="0" w:line="360" w:lineRule="auto"/>
        <w:jc w:val="both"/>
        <w:rPr>
          <w:rFonts w:cstheme="minorHAnsi"/>
          <w:color w:val="000000"/>
        </w:rPr>
      </w:pPr>
    </w:p>
    <w:p w14:paraId="4A00E487" w14:textId="7B0EECFB" w:rsidR="003F2B7E" w:rsidRDefault="003F2B7E" w:rsidP="003F2B7E">
      <w:pPr>
        <w:autoSpaceDE w:val="0"/>
        <w:autoSpaceDN w:val="0"/>
        <w:adjustRightInd w:val="0"/>
        <w:spacing w:after="0" w:line="360" w:lineRule="auto"/>
        <w:jc w:val="both"/>
        <w:rPr>
          <w:rFonts w:cstheme="minorHAnsi"/>
          <w:color w:val="000000"/>
        </w:rPr>
      </w:pPr>
      <w:r>
        <w:rPr>
          <w:rFonts w:cstheme="minorHAnsi"/>
          <w:color w:val="000000"/>
        </w:rPr>
        <w:t>Nesta data, e no âmbito da Medida</w:t>
      </w:r>
      <w:r w:rsidR="004B1B44">
        <w:rPr>
          <w:rFonts w:cstheme="minorHAnsi"/>
          <w:color w:val="000000"/>
        </w:rPr>
        <w:t xml:space="preserve"> </w:t>
      </w:r>
      <w:r w:rsidR="004B1B44" w:rsidRPr="00595D41">
        <w:rPr>
          <w:rFonts w:cstheme="minorHAnsi"/>
          <w:color w:val="000000"/>
        </w:rPr>
        <w:t>C04-i01-m02</w:t>
      </w:r>
      <w:r w:rsidR="004B1B44" w:rsidRPr="00595D41">
        <w:rPr>
          <w:rFonts w:cstheme="minorHAnsi"/>
          <w:color w:val="000000"/>
        </w:rPr>
        <w:t xml:space="preserve"> Digitalização de Artes e Património</w:t>
      </w:r>
      <w:r w:rsidR="00595D41">
        <w:rPr>
          <w:rFonts w:cstheme="minorHAnsi"/>
          <w:color w:val="000000"/>
        </w:rPr>
        <w:t>, foram já publicadas as seguintes Orientações Técnicas e celebrados os contratos de financiamento com os respe</w:t>
      </w:r>
      <w:r w:rsidR="008E6496">
        <w:rPr>
          <w:rFonts w:cstheme="minorHAnsi"/>
          <w:color w:val="000000"/>
        </w:rPr>
        <w:t>t</w:t>
      </w:r>
      <w:r w:rsidR="00595D41">
        <w:rPr>
          <w:rFonts w:cstheme="minorHAnsi"/>
          <w:color w:val="000000"/>
        </w:rPr>
        <w:t>ivos Beneficiários Finais</w:t>
      </w:r>
      <w:r w:rsidR="008E6496">
        <w:rPr>
          <w:rFonts w:cstheme="minorHAnsi"/>
          <w:color w:val="000000"/>
        </w:rPr>
        <w:t>:</w:t>
      </w:r>
    </w:p>
    <w:p w14:paraId="093F4BB3" w14:textId="5C47B637" w:rsidR="00595D41" w:rsidRDefault="00595D41" w:rsidP="003F2B7E">
      <w:pPr>
        <w:autoSpaceDE w:val="0"/>
        <w:autoSpaceDN w:val="0"/>
        <w:adjustRightInd w:val="0"/>
        <w:spacing w:after="0" w:line="360" w:lineRule="auto"/>
        <w:jc w:val="both"/>
        <w:rPr>
          <w:rFonts w:cstheme="minorHAnsi"/>
          <w:color w:val="000000"/>
        </w:rPr>
      </w:pPr>
    </w:p>
    <w:tbl>
      <w:tblPr>
        <w:tblStyle w:val="TabelacomGrelha"/>
        <w:tblW w:w="0" w:type="auto"/>
        <w:tblLayout w:type="fixed"/>
        <w:tblLook w:val="04A0" w:firstRow="1" w:lastRow="0" w:firstColumn="1" w:lastColumn="0" w:noHBand="0" w:noVBand="1"/>
      </w:tblPr>
      <w:tblGrid>
        <w:gridCol w:w="3681"/>
        <w:gridCol w:w="1701"/>
        <w:gridCol w:w="1417"/>
        <w:gridCol w:w="1359"/>
        <w:gridCol w:w="1188"/>
      </w:tblGrid>
      <w:tr w:rsidR="004C1888" w:rsidRPr="004C1888" w14:paraId="679D89B0" w14:textId="77777777" w:rsidTr="00576589">
        <w:tc>
          <w:tcPr>
            <w:tcW w:w="3681" w:type="dxa"/>
          </w:tcPr>
          <w:p w14:paraId="6DF58CAA" w14:textId="77777777" w:rsidR="004C1888" w:rsidRPr="004C1888" w:rsidRDefault="004C1888" w:rsidP="004C1888">
            <w:pPr>
              <w:autoSpaceDE w:val="0"/>
              <w:autoSpaceDN w:val="0"/>
              <w:adjustRightInd w:val="0"/>
              <w:spacing w:line="360" w:lineRule="auto"/>
              <w:jc w:val="center"/>
              <w:rPr>
                <w:rFonts w:cstheme="minorHAnsi"/>
                <w:b/>
                <w:bCs/>
                <w:color w:val="000000"/>
                <w:sz w:val="18"/>
                <w:szCs w:val="18"/>
              </w:rPr>
            </w:pPr>
            <w:r w:rsidRPr="004C1888">
              <w:rPr>
                <w:rFonts w:cstheme="minorHAnsi"/>
                <w:b/>
                <w:bCs/>
                <w:color w:val="000000"/>
                <w:sz w:val="18"/>
                <w:szCs w:val="18"/>
              </w:rPr>
              <w:lastRenderedPageBreak/>
              <w:t>Submedida/</w:t>
            </w:r>
          </w:p>
          <w:p w14:paraId="57C94F1C" w14:textId="5BC461FD" w:rsidR="004C1888" w:rsidRPr="004C1888" w:rsidRDefault="004C1888" w:rsidP="004C1888">
            <w:pPr>
              <w:autoSpaceDE w:val="0"/>
              <w:autoSpaceDN w:val="0"/>
              <w:adjustRightInd w:val="0"/>
              <w:spacing w:line="360" w:lineRule="auto"/>
              <w:jc w:val="center"/>
              <w:rPr>
                <w:rFonts w:cstheme="minorHAnsi"/>
                <w:b/>
                <w:bCs/>
                <w:color w:val="000000"/>
                <w:sz w:val="18"/>
                <w:szCs w:val="18"/>
              </w:rPr>
            </w:pPr>
            <w:r w:rsidRPr="004C1888">
              <w:rPr>
                <w:rFonts w:cstheme="minorHAnsi"/>
                <w:b/>
                <w:bCs/>
                <w:color w:val="000000"/>
                <w:sz w:val="18"/>
                <w:szCs w:val="18"/>
              </w:rPr>
              <w:t>Operação de Investimento</w:t>
            </w:r>
          </w:p>
        </w:tc>
        <w:tc>
          <w:tcPr>
            <w:tcW w:w="1701" w:type="dxa"/>
          </w:tcPr>
          <w:p w14:paraId="53435895" w14:textId="77777777" w:rsidR="00576589" w:rsidRDefault="00576589" w:rsidP="004C1888">
            <w:pPr>
              <w:autoSpaceDE w:val="0"/>
              <w:autoSpaceDN w:val="0"/>
              <w:adjustRightInd w:val="0"/>
              <w:spacing w:line="360" w:lineRule="auto"/>
              <w:jc w:val="center"/>
              <w:rPr>
                <w:rFonts w:cstheme="minorHAnsi"/>
                <w:b/>
                <w:bCs/>
                <w:color w:val="000000"/>
                <w:sz w:val="18"/>
                <w:szCs w:val="18"/>
              </w:rPr>
            </w:pPr>
          </w:p>
          <w:p w14:paraId="60ECCB99" w14:textId="07A4AB11" w:rsidR="004C1888" w:rsidRPr="004C1888" w:rsidRDefault="004C1888" w:rsidP="004C1888">
            <w:pPr>
              <w:autoSpaceDE w:val="0"/>
              <w:autoSpaceDN w:val="0"/>
              <w:adjustRightInd w:val="0"/>
              <w:spacing w:line="360" w:lineRule="auto"/>
              <w:jc w:val="center"/>
              <w:rPr>
                <w:rFonts w:cstheme="minorHAnsi"/>
                <w:b/>
                <w:bCs/>
                <w:color w:val="000000"/>
                <w:sz w:val="18"/>
                <w:szCs w:val="18"/>
              </w:rPr>
            </w:pPr>
            <w:r w:rsidRPr="004C1888">
              <w:rPr>
                <w:rFonts w:cstheme="minorHAnsi"/>
                <w:b/>
                <w:bCs/>
                <w:color w:val="000000"/>
                <w:sz w:val="18"/>
                <w:szCs w:val="18"/>
              </w:rPr>
              <w:t>Orientação Técnica</w:t>
            </w:r>
          </w:p>
        </w:tc>
        <w:tc>
          <w:tcPr>
            <w:tcW w:w="1417" w:type="dxa"/>
          </w:tcPr>
          <w:p w14:paraId="774B9208" w14:textId="3DE0612D" w:rsidR="004C1888" w:rsidRPr="004C1888" w:rsidRDefault="004C1888" w:rsidP="004C1888">
            <w:pPr>
              <w:autoSpaceDE w:val="0"/>
              <w:autoSpaceDN w:val="0"/>
              <w:adjustRightInd w:val="0"/>
              <w:spacing w:line="360" w:lineRule="auto"/>
              <w:jc w:val="center"/>
              <w:rPr>
                <w:rFonts w:cstheme="minorHAnsi"/>
                <w:b/>
                <w:bCs/>
                <w:color w:val="000000"/>
                <w:sz w:val="18"/>
                <w:szCs w:val="18"/>
              </w:rPr>
            </w:pPr>
            <w:r w:rsidRPr="004C1888">
              <w:rPr>
                <w:rFonts w:cstheme="minorHAnsi"/>
                <w:b/>
                <w:bCs/>
                <w:color w:val="000000"/>
                <w:sz w:val="18"/>
                <w:szCs w:val="18"/>
              </w:rPr>
              <w:t>Data do Contrato de Financiame</w:t>
            </w:r>
            <w:r w:rsidRPr="004C1888">
              <w:rPr>
                <w:rFonts w:cstheme="minorHAnsi"/>
                <w:b/>
                <w:bCs/>
                <w:color w:val="000000"/>
                <w:sz w:val="18"/>
                <w:szCs w:val="18"/>
              </w:rPr>
              <w:t>n</w:t>
            </w:r>
            <w:r w:rsidRPr="004C1888">
              <w:rPr>
                <w:rFonts w:cstheme="minorHAnsi"/>
                <w:b/>
                <w:bCs/>
                <w:color w:val="000000"/>
                <w:sz w:val="18"/>
                <w:szCs w:val="18"/>
              </w:rPr>
              <w:t>to</w:t>
            </w:r>
          </w:p>
        </w:tc>
        <w:tc>
          <w:tcPr>
            <w:tcW w:w="1359" w:type="dxa"/>
          </w:tcPr>
          <w:p w14:paraId="476147ED" w14:textId="77777777" w:rsidR="004C1888" w:rsidRDefault="004C1888" w:rsidP="004C1888">
            <w:pPr>
              <w:autoSpaceDE w:val="0"/>
              <w:autoSpaceDN w:val="0"/>
              <w:adjustRightInd w:val="0"/>
              <w:spacing w:line="360" w:lineRule="auto"/>
              <w:jc w:val="center"/>
              <w:rPr>
                <w:rFonts w:cstheme="minorHAnsi"/>
                <w:b/>
                <w:bCs/>
                <w:color w:val="000000"/>
                <w:sz w:val="18"/>
                <w:szCs w:val="18"/>
              </w:rPr>
            </w:pPr>
            <w:r>
              <w:rPr>
                <w:rFonts w:cstheme="minorHAnsi"/>
                <w:b/>
                <w:bCs/>
                <w:color w:val="000000"/>
                <w:sz w:val="18"/>
                <w:szCs w:val="18"/>
              </w:rPr>
              <w:t>Beneficiário</w:t>
            </w:r>
          </w:p>
          <w:p w14:paraId="54227707" w14:textId="6A2277F8" w:rsidR="004C1888" w:rsidRPr="004C1888" w:rsidRDefault="004C1888" w:rsidP="004C1888">
            <w:pPr>
              <w:autoSpaceDE w:val="0"/>
              <w:autoSpaceDN w:val="0"/>
              <w:adjustRightInd w:val="0"/>
              <w:spacing w:line="360" w:lineRule="auto"/>
              <w:jc w:val="center"/>
              <w:rPr>
                <w:rFonts w:cstheme="minorHAnsi"/>
                <w:b/>
                <w:bCs/>
                <w:color w:val="000000"/>
                <w:sz w:val="18"/>
                <w:szCs w:val="18"/>
              </w:rPr>
            </w:pPr>
            <w:r>
              <w:rPr>
                <w:rFonts w:cstheme="minorHAnsi"/>
                <w:b/>
                <w:bCs/>
                <w:color w:val="000000"/>
                <w:sz w:val="18"/>
                <w:szCs w:val="18"/>
              </w:rPr>
              <w:t>Final</w:t>
            </w:r>
          </w:p>
        </w:tc>
        <w:tc>
          <w:tcPr>
            <w:tcW w:w="1188" w:type="dxa"/>
          </w:tcPr>
          <w:p w14:paraId="292E3ADD" w14:textId="5CAF8231" w:rsidR="004C1888" w:rsidRPr="004C1888" w:rsidRDefault="004C1888" w:rsidP="004C1888">
            <w:pPr>
              <w:autoSpaceDE w:val="0"/>
              <w:autoSpaceDN w:val="0"/>
              <w:adjustRightInd w:val="0"/>
              <w:spacing w:line="360" w:lineRule="auto"/>
              <w:jc w:val="center"/>
              <w:rPr>
                <w:rFonts w:cstheme="minorHAnsi"/>
                <w:b/>
                <w:bCs/>
                <w:color w:val="000000"/>
                <w:sz w:val="18"/>
                <w:szCs w:val="18"/>
              </w:rPr>
            </w:pPr>
            <w:r w:rsidRPr="004C1888">
              <w:rPr>
                <w:rFonts w:cstheme="minorHAnsi"/>
                <w:b/>
                <w:bCs/>
                <w:color w:val="000000"/>
                <w:sz w:val="18"/>
                <w:szCs w:val="18"/>
              </w:rPr>
              <w:t>Montante de Investimento</w:t>
            </w:r>
          </w:p>
        </w:tc>
      </w:tr>
      <w:tr w:rsidR="004C1888" w:rsidRPr="004C1888" w14:paraId="473F907A" w14:textId="77777777" w:rsidTr="00576589">
        <w:tc>
          <w:tcPr>
            <w:tcW w:w="3681" w:type="dxa"/>
          </w:tcPr>
          <w:p w14:paraId="7ED3D2D6" w14:textId="77777777" w:rsidR="00010F69" w:rsidRDefault="00010F69" w:rsidP="004C1888">
            <w:pPr>
              <w:autoSpaceDE w:val="0"/>
              <w:autoSpaceDN w:val="0"/>
              <w:adjustRightInd w:val="0"/>
              <w:spacing w:line="360" w:lineRule="auto"/>
              <w:jc w:val="both"/>
              <w:rPr>
                <w:rFonts w:cstheme="minorHAnsi"/>
                <w:i/>
                <w:iCs/>
                <w:color w:val="000000"/>
                <w:sz w:val="18"/>
                <w:szCs w:val="18"/>
              </w:rPr>
            </w:pPr>
          </w:p>
          <w:p w14:paraId="21B81841" w14:textId="6CEA97F0" w:rsidR="004C1888" w:rsidRPr="004C1888" w:rsidRDefault="004C1888" w:rsidP="004C1888">
            <w:pPr>
              <w:autoSpaceDE w:val="0"/>
              <w:autoSpaceDN w:val="0"/>
              <w:adjustRightInd w:val="0"/>
              <w:spacing w:line="360" w:lineRule="auto"/>
              <w:jc w:val="both"/>
              <w:rPr>
                <w:rFonts w:cstheme="minorHAnsi"/>
                <w:i/>
                <w:iCs/>
                <w:color w:val="000000"/>
                <w:sz w:val="18"/>
                <w:szCs w:val="18"/>
              </w:rPr>
            </w:pPr>
            <w:r w:rsidRPr="004C1888">
              <w:rPr>
                <w:rFonts w:cstheme="minorHAnsi"/>
                <w:i/>
                <w:iCs/>
                <w:color w:val="000000"/>
                <w:sz w:val="18"/>
                <w:szCs w:val="18"/>
              </w:rPr>
              <w:t>Digitalização e virtualização de espólio (20M de imagens) de bibliotecas públicas (Biblioteca Nacional de Portugal e Biblioteca Pública de Évora)</w:t>
            </w:r>
          </w:p>
        </w:tc>
        <w:tc>
          <w:tcPr>
            <w:tcW w:w="1701" w:type="dxa"/>
          </w:tcPr>
          <w:p w14:paraId="2E873DFF" w14:textId="72DB1FCE" w:rsidR="00010F69" w:rsidRPr="004C1888" w:rsidRDefault="00010F69" w:rsidP="003F2B7E">
            <w:pPr>
              <w:autoSpaceDE w:val="0"/>
              <w:autoSpaceDN w:val="0"/>
              <w:adjustRightInd w:val="0"/>
              <w:spacing w:line="360" w:lineRule="auto"/>
              <w:jc w:val="both"/>
              <w:rPr>
                <w:rFonts w:cstheme="minorHAnsi"/>
                <w:color w:val="000000"/>
                <w:sz w:val="18"/>
                <w:szCs w:val="18"/>
              </w:rPr>
            </w:pPr>
            <w:hyperlink r:id="rId8" w:history="1">
              <w:r w:rsidRPr="009A03BC">
                <w:rPr>
                  <w:rStyle w:val="Hiperligao"/>
                  <w:rFonts w:cstheme="minorHAnsi"/>
                  <w:sz w:val="18"/>
                  <w:szCs w:val="18"/>
                </w:rPr>
                <w:t>https://recuperarportugal.gov.pt/wp-content/uploads/2021/12/Orientacao-Tecnica-No3_C4-i01_2021-3-1.pdf</w:t>
              </w:r>
            </w:hyperlink>
          </w:p>
        </w:tc>
        <w:tc>
          <w:tcPr>
            <w:tcW w:w="1417" w:type="dxa"/>
          </w:tcPr>
          <w:p w14:paraId="4698BED7" w14:textId="77777777" w:rsidR="00576589" w:rsidRDefault="00576589" w:rsidP="003F2B7E">
            <w:pPr>
              <w:autoSpaceDE w:val="0"/>
              <w:autoSpaceDN w:val="0"/>
              <w:adjustRightInd w:val="0"/>
              <w:spacing w:line="360" w:lineRule="auto"/>
              <w:jc w:val="both"/>
              <w:rPr>
                <w:rFonts w:cstheme="minorHAnsi"/>
                <w:color w:val="000000"/>
                <w:sz w:val="18"/>
                <w:szCs w:val="18"/>
              </w:rPr>
            </w:pPr>
          </w:p>
          <w:p w14:paraId="1F43B0D9" w14:textId="77777777" w:rsidR="00576589" w:rsidRDefault="00576589" w:rsidP="003F2B7E">
            <w:pPr>
              <w:autoSpaceDE w:val="0"/>
              <w:autoSpaceDN w:val="0"/>
              <w:adjustRightInd w:val="0"/>
              <w:spacing w:line="360" w:lineRule="auto"/>
              <w:jc w:val="both"/>
              <w:rPr>
                <w:rFonts w:cstheme="minorHAnsi"/>
                <w:color w:val="000000"/>
                <w:sz w:val="18"/>
                <w:szCs w:val="18"/>
              </w:rPr>
            </w:pPr>
          </w:p>
          <w:p w14:paraId="071622ED" w14:textId="77777777" w:rsidR="00576589" w:rsidRDefault="00576589" w:rsidP="003F2B7E">
            <w:pPr>
              <w:autoSpaceDE w:val="0"/>
              <w:autoSpaceDN w:val="0"/>
              <w:adjustRightInd w:val="0"/>
              <w:spacing w:line="360" w:lineRule="auto"/>
              <w:jc w:val="both"/>
              <w:rPr>
                <w:rFonts w:cstheme="minorHAnsi"/>
                <w:color w:val="000000"/>
                <w:sz w:val="18"/>
                <w:szCs w:val="18"/>
              </w:rPr>
            </w:pPr>
          </w:p>
          <w:p w14:paraId="156224F3" w14:textId="02E4301B" w:rsidR="004C1888" w:rsidRPr="004C1888" w:rsidRDefault="00576589" w:rsidP="003F2B7E">
            <w:pPr>
              <w:autoSpaceDE w:val="0"/>
              <w:autoSpaceDN w:val="0"/>
              <w:adjustRightInd w:val="0"/>
              <w:spacing w:line="360" w:lineRule="auto"/>
              <w:jc w:val="both"/>
              <w:rPr>
                <w:rFonts w:cstheme="minorHAnsi"/>
                <w:color w:val="000000"/>
                <w:sz w:val="18"/>
                <w:szCs w:val="18"/>
              </w:rPr>
            </w:pPr>
            <w:r>
              <w:rPr>
                <w:rFonts w:cstheme="minorHAnsi"/>
                <w:color w:val="000000"/>
                <w:sz w:val="18"/>
                <w:szCs w:val="18"/>
              </w:rPr>
              <w:t>28/12/2021</w:t>
            </w:r>
          </w:p>
        </w:tc>
        <w:tc>
          <w:tcPr>
            <w:tcW w:w="1359" w:type="dxa"/>
          </w:tcPr>
          <w:p w14:paraId="683D6939" w14:textId="77777777" w:rsidR="00576589" w:rsidRDefault="00576589" w:rsidP="00576589">
            <w:pPr>
              <w:autoSpaceDE w:val="0"/>
              <w:autoSpaceDN w:val="0"/>
              <w:adjustRightInd w:val="0"/>
              <w:spacing w:line="360" w:lineRule="auto"/>
              <w:jc w:val="center"/>
              <w:rPr>
                <w:rFonts w:cstheme="minorHAnsi"/>
                <w:color w:val="000000"/>
                <w:sz w:val="18"/>
                <w:szCs w:val="18"/>
              </w:rPr>
            </w:pPr>
          </w:p>
          <w:p w14:paraId="27167388" w14:textId="77777777" w:rsidR="00576589" w:rsidRDefault="00576589" w:rsidP="00576589">
            <w:pPr>
              <w:autoSpaceDE w:val="0"/>
              <w:autoSpaceDN w:val="0"/>
              <w:adjustRightInd w:val="0"/>
              <w:spacing w:line="360" w:lineRule="auto"/>
              <w:jc w:val="center"/>
              <w:rPr>
                <w:rFonts w:cstheme="minorHAnsi"/>
                <w:color w:val="000000"/>
                <w:sz w:val="18"/>
                <w:szCs w:val="18"/>
              </w:rPr>
            </w:pPr>
          </w:p>
          <w:p w14:paraId="4B7E0405" w14:textId="16FA9AEF" w:rsidR="004C1888" w:rsidRPr="004C1888" w:rsidRDefault="00576589" w:rsidP="00576589">
            <w:pPr>
              <w:autoSpaceDE w:val="0"/>
              <w:autoSpaceDN w:val="0"/>
              <w:adjustRightInd w:val="0"/>
              <w:spacing w:line="360" w:lineRule="auto"/>
              <w:jc w:val="center"/>
              <w:rPr>
                <w:rFonts w:cstheme="minorHAnsi"/>
                <w:color w:val="000000"/>
                <w:sz w:val="18"/>
                <w:szCs w:val="18"/>
              </w:rPr>
            </w:pPr>
            <w:r>
              <w:rPr>
                <w:rFonts w:cstheme="minorHAnsi"/>
                <w:color w:val="000000"/>
                <w:sz w:val="18"/>
                <w:szCs w:val="18"/>
              </w:rPr>
              <w:t>Biblioteca Nacional de Portugal</w:t>
            </w:r>
          </w:p>
        </w:tc>
        <w:tc>
          <w:tcPr>
            <w:tcW w:w="1188" w:type="dxa"/>
          </w:tcPr>
          <w:p w14:paraId="5085CA7F" w14:textId="77777777" w:rsidR="00576589" w:rsidRDefault="00576589" w:rsidP="003F2B7E">
            <w:pPr>
              <w:autoSpaceDE w:val="0"/>
              <w:autoSpaceDN w:val="0"/>
              <w:adjustRightInd w:val="0"/>
              <w:spacing w:line="360" w:lineRule="auto"/>
              <w:jc w:val="both"/>
              <w:rPr>
                <w:rFonts w:cstheme="minorHAnsi"/>
                <w:color w:val="000000"/>
                <w:sz w:val="18"/>
                <w:szCs w:val="18"/>
              </w:rPr>
            </w:pPr>
          </w:p>
          <w:p w14:paraId="65AB4761" w14:textId="77777777" w:rsidR="00576589" w:rsidRDefault="00576589" w:rsidP="003F2B7E">
            <w:pPr>
              <w:autoSpaceDE w:val="0"/>
              <w:autoSpaceDN w:val="0"/>
              <w:adjustRightInd w:val="0"/>
              <w:spacing w:line="360" w:lineRule="auto"/>
              <w:jc w:val="both"/>
              <w:rPr>
                <w:rFonts w:cstheme="minorHAnsi"/>
                <w:color w:val="000000"/>
                <w:sz w:val="18"/>
                <w:szCs w:val="18"/>
              </w:rPr>
            </w:pPr>
          </w:p>
          <w:p w14:paraId="47B6C31D" w14:textId="77777777" w:rsidR="00576589" w:rsidRDefault="00576589" w:rsidP="003F2B7E">
            <w:pPr>
              <w:autoSpaceDE w:val="0"/>
              <w:autoSpaceDN w:val="0"/>
              <w:adjustRightInd w:val="0"/>
              <w:spacing w:line="360" w:lineRule="auto"/>
              <w:jc w:val="both"/>
              <w:rPr>
                <w:rFonts w:cstheme="minorHAnsi"/>
                <w:color w:val="000000"/>
                <w:sz w:val="18"/>
                <w:szCs w:val="18"/>
              </w:rPr>
            </w:pPr>
          </w:p>
          <w:p w14:paraId="7130326D" w14:textId="76DE42D4" w:rsidR="004C1888" w:rsidRPr="004C1888" w:rsidRDefault="00576589" w:rsidP="003F2B7E">
            <w:pPr>
              <w:autoSpaceDE w:val="0"/>
              <w:autoSpaceDN w:val="0"/>
              <w:adjustRightInd w:val="0"/>
              <w:spacing w:line="360" w:lineRule="auto"/>
              <w:jc w:val="both"/>
              <w:rPr>
                <w:rFonts w:cstheme="minorHAnsi"/>
                <w:color w:val="000000"/>
                <w:sz w:val="18"/>
                <w:szCs w:val="18"/>
              </w:rPr>
            </w:pPr>
            <w:r>
              <w:rPr>
                <w:rFonts w:cstheme="minorHAnsi"/>
                <w:color w:val="000000"/>
                <w:sz w:val="18"/>
                <w:szCs w:val="18"/>
              </w:rPr>
              <w:t>€7.400.0000</w:t>
            </w:r>
          </w:p>
        </w:tc>
      </w:tr>
      <w:tr w:rsidR="00010F69" w:rsidRPr="004C1888" w14:paraId="429748FB" w14:textId="77777777" w:rsidTr="00576589">
        <w:trPr>
          <w:trHeight w:val="1205"/>
        </w:trPr>
        <w:tc>
          <w:tcPr>
            <w:tcW w:w="3681" w:type="dxa"/>
          </w:tcPr>
          <w:p w14:paraId="54E1793C" w14:textId="77777777" w:rsidR="00010F69" w:rsidRDefault="00010F69" w:rsidP="00010F69">
            <w:pPr>
              <w:autoSpaceDE w:val="0"/>
              <w:autoSpaceDN w:val="0"/>
              <w:adjustRightInd w:val="0"/>
              <w:spacing w:line="360" w:lineRule="auto"/>
              <w:jc w:val="both"/>
              <w:rPr>
                <w:rFonts w:cstheme="minorHAnsi"/>
                <w:i/>
                <w:iCs/>
                <w:color w:val="000000"/>
                <w:sz w:val="18"/>
                <w:szCs w:val="18"/>
              </w:rPr>
            </w:pPr>
          </w:p>
          <w:p w14:paraId="15049C3D" w14:textId="77777777" w:rsidR="00010F69" w:rsidRDefault="00010F69" w:rsidP="00010F69">
            <w:pPr>
              <w:autoSpaceDE w:val="0"/>
              <w:autoSpaceDN w:val="0"/>
              <w:adjustRightInd w:val="0"/>
              <w:spacing w:line="360" w:lineRule="auto"/>
              <w:jc w:val="both"/>
              <w:rPr>
                <w:rFonts w:cstheme="minorHAnsi"/>
                <w:i/>
                <w:iCs/>
                <w:color w:val="000000"/>
                <w:sz w:val="18"/>
                <w:szCs w:val="18"/>
              </w:rPr>
            </w:pPr>
          </w:p>
          <w:p w14:paraId="6C966B0A" w14:textId="68F4DE64" w:rsidR="00010F69" w:rsidRPr="004C1888" w:rsidRDefault="00010F69" w:rsidP="00010F69">
            <w:pPr>
              <w:autoSpaceDE w:val="0"/>
              <w:autoSpaceDN w:val="0"/>
              <w:adjustRightInd w:val="0"/>
              <w:spacing w:line="360" w:lineRule="auto"/>
              <w:jc w:val="both"/>
              <w:rPr>
                <w:rFonts w:cstheme="minorHAnsi"/>
                <w:i/>
                <w:iCs/>
                <w:color w:val="000000"/>
                <w:sz w:val="18"/>
                <w:szCs w:val="18"/>
              </w:rPr>
            </w:pPr>
            <w:r w:rsidRPr="004C1888">
              <w:rPr>
                <w:rFonts w:cstheme="minorHAnsi"/>
                <w:i/>
                <w:iCs/>
                <w:color w:val="000000"/>
                <w:sz w:val="18"/>
                <w:szCs w:val="18"/>
              </w:rPr>
              <w:t>Digitalização e virtualização de espólio (19,5M de documentos) da DGLAB</w:t>
            </w:r>
          </w:p>
        </w:tc>
        <w:tc>
          <w:tcPr>
            <w:tcW w:w="1701" w:type="dxa"/>
          </w:tcPr>
          <w:p w14:paraId="61954CDA" w14:textId="10598242" w:rsidR="00010F69" w:rsidRPr="004C1888" w:rsidRDefault="00010F69" w:rsidP="00010F69">
            <w:pPr>
              <w:autoSpaceDE w:val="0"/>
              <w:autoSpaceDN w:val="0"/>
              <w:adjustRightInd w:val="0"/>
              <w:spacing w:line="360" w:lineRule="auto"/>
              <w:jc w:val="both"/>
              <w:rPr>
                <w:rFonts w:cstheme="minorHAnsi"/>
                <w:color w:val="000000"/>
                <w:sz w:val="18"/>
                <w:szCs w:val="18"/>
              </w:rPr>
            </w:pPr>
            <w:hyperlink r:id="rId9" w:history="1">
              <w:r w:rsidRPr="009A03BC">
                <w:rPr>
                  <w:rStyle w:val="Hiperligao"/>
                  <w:rFonts w:cstheme="minorHAnsi"/>
                  <w:sz w:val="18"/>
                  <w:szCs w:val="18"/>
                </w:rPr>
                <w:t>https://recuperarportugal.gov.pt/wp-content/uploads/2021/12/Orientacao-Tecnica-No2_C04-i01_2021-2.pdf</w:t>
              </w:r>
            </w:hyperlink>
          </w:p>
        </w:tc>
        <w:tc>
          <w:tcPr>
            <w:tcW w:w="1417" w:type="dxa"/>
          </w:tcPr>
          <w:p w14:paraId="40372E9B"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2003CA26"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5526022F"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37B22887" w14:textId="3181A1B9" w:rsidR="00010F69" w:rsidRPr="004C1888" w:rsidRDefault="00010F69" w:rsidP="00010F69">
            <w:pPr>
              <w:autoSpaceDE w:val="0"/>
              <w:autoSpaceDN w:val="0"/>
              <w:adjustRightInd w:val="0"/>
              <w:spacing w:line="360" w:lineRule="auto"/>
              <w:jc w:val="both"/>
              <w:rPr>
                <w:rFonts w:cstheme="minorHAnsi"/>
                <w:color w:val="000000"/>
                <w:sz w:val="18"/>
                <w:szCs w:val="18"/>
              </w:rPr>
            </w:pPr>
            <w:r>
              <w:rPr>
                <w:rFonts w:cstheme="minorHAnsi"/>
                <w:color w:val="000000"/>
                <w:sz w:val="18"/>
                <w:szCs w:val="18"/>
              </w:rPr>
              <w:t>28/12/2021</w:t>
            </w:r>
          </w:p>
        </w:tc>
        <w:tc>
          <w:tcPr>
            <w:tcW w:w="1359" w:type="dxa"/>
          </w:tcPr>
          <w:p w14:paraId="3E4DF01A" w14:textId="77777777" w:rsidR="00010F69" w:rsidRDefault="00010F69" w:rsidP="00010F69">
            <w:pPr>
              <w:autoSpaceDE w:val="0"/>
              <w:autoSpaceDN w:val="0"/>
              <w:adjustRightInd w:val="0"/>
              <w:spacing w:line="360" w:lineRule="auto"/>
              <w:jc w:val="center"/>
              <w:rPr>
                <w:rFonts w:cstheme="minorHAnsi"/>
                <w:color w:val="000000"/>
                <w:sz w:val="18"/>
                <w:szCs w:val="18"/>
              </w:rPr>
            </w:pPr>
          </w:p>
          <w:p w14:paraId="3FBD0BAD" w14:textId="4C46418F" w:rsidR="00010F69" w:rsidRPr="004C1888" w:rsidRDefault="00010F69" w:rsidP="00010F69">
            <w:pPr>
              <w:autoSpaceDE w:val="0"/>
              <w:autoSpaceDN w:val="0"/>
              <w:adjustRightInd w:val="0"/>
              <w:spacing w:line="360" w:lineRule="auto"/>
              <w:jc w:val="center"/>
              <w:rPr>
                <w:rFonts w:cstheme="minorHAnsi"/>
                <w:color w:val="000000"/>
                <w:sz w:val="18"/>
                <w:szCs w:val="18"/>
              </w:rPr>
            </w:pPr>
            <w:r w:rsidRPr="00010F69">
              <w:rPr>
                <w:rFonts w:cstheme="minorHAnsi"/>
                <w:color w:val="000000"/>
                <w:sz w:val="18"/>
                <w:szCs w:val="18"/>
              </w:rPr>
              <w:t>Direção-Geral do Livro, dos Arquivos e das Bibliotecas</w:t>
            </w:r>
          </w:p>
        </w:tc>
        <w:tc>
          <w:tcPr>
            <w:tcW w:w="1188" w:type="dxa"/>
          </w:tcPr>
          <w:p w14:paraId="7324C6F6"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2C186668"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48C99B02" w14:textId="10458955" w:rsidR="00010F69" w:rsidRPr="004C1888" w:rsidRDefault="00010F69" w:rsidP="00010F69">
            <w:pPr>
              <w:autoSpaceDE w:val="0"/>
              <w:autoSpaceDN w:val="0"/>
              <w:adjustRightInd w:val="0"/>
              <w:spacing w:line="360" w:lineRule="auto"/>
              <w:jc w:val="both"/>
              <w:rPr>
                <w:rFonts w:cstheme="minorHAnsi"/>
                <w:color w:val="000000"/>
                <w:sz w:val="18"/>
                <w:szCs w:val="18"/>
              </w:rPr>
            </w:pPr>
            <w:r>
              <w:rPr>
                <w:rFonts w:cstheme="minorHAnsi"/>
                <w:color w:val="000000"/>
                <w:sz w:val="18"/>
                <w:szCs w:val="18"/>
              </w:rPr>
              <w:t>€7.215.000</w:t>
            </w:r>
          </w:p>
        </w:tc>
      </w:tr>
      <w:tr w:rsidR="00010F69" w:rsidRPr="004C1888" w14:paraId="5FE3DF61" w14:textId="77777777" w:rsidTr="00576589">
        <w:tc>
          <w:tcPr>
            <w:tcW w:w="3681" w:type="dxa"/>
          </w:tcPr>
          <w:p w14:paraId="1562CFF4" w14:textId="77777777" w:rsidR="00010F69" w:rsidRDefault="00010F69" w:rsidP="00010F69">
            <w:pPr>
              <w:autoSpaceDE w:val="0"/>
              <w:autoSpaceDN w:val="0"/>
              <w:adjustRightInd w:val="0"/>
              <w:spacing w:line="360" w:lineRule="auto"/>
              <w:jc w:val="both"/>
              <w:rPr>
                <w:rFonts w:cstheme="minorHAnsi"/>
                <w:i/>
                <w:iCs/>
                <w:color w:val="000000"/>
                <w:sz w:val="18"/>
                <w:szCs w:val="18"/>
              </w:rPr>
            </w:pPr>
          </w:p>
          <w:p w14:paraId="7AC14834" w14:textId="77777777" w:rsidR="00010F69" w:rsidRDefault="00010F69" w:rsidP="00010F69">
            <w:pPr>
              <w:autoSpaceDE w:val="0"/>
              <w:autoSpaceDN w:val="0"/>
              <w:adjustRightInd w:val="0"/>
              <w:spacing w:line="360" w:lineRule="auto"/>
              <w:jc w:val="both"/>
              <w:rPr>
                <w:rFonts w:cstheme="minorHAnsi"/>
                <w:i/>
                <w:iCs/>
                <w:color w:val="000000"/>
                <w:sz w:val="18"/>
                <w:szCs w:val="18"/>
              </w:rPr>
            </w:pPr>
          </w:p>
          <w:p w14:paraId="329E1AEE" w14:textId="63FBFA95" w:rsidR="00010F69" w:rsidRPr="004C1888" w:rsidRDefault="00010F69" w:rsidP="00010F69">
            <w:pPr>
              <w:autoSpaceDE w:val="0"/>
              <w:autoSpaceDN w:val="0"/>
              <w:adjustRightInd w:val="0"/>
              <w:spacing w:line="360" w:lineRule="auto"/>
              <w:jc w:val="both"/>
              <w:rPr>
                <w:rFonts w:cstheme="minorHAnsi"/>
                <w:i/>
                <w:iCs/>
                <w:color w:val="000000"/>
                <w:sz w:val="18"/>
                <w:szCs w:val="18"/>
              </w:rPr>
            </w:pPr>
            <w:r w:rsidRPr="004C1888">
              <w:rPr>
                <w:rFonts w:cstheme="minorHAnsi"/>
                <w:i/>
                <w:iCs/>
                <w:color w:val="000000"/>
                <w:sz w:val="18"/>
                <w:szCs w:val="18"/>
              </w:rPr>
              <w:t>Digitalização de 1.000 filmes portugueses da Cinemateca</w:t>
            </w:r>
          </w:p>
        </w:tc>
        <w:tc>
          <w:tcPr>
            <w:tcW w:w="1701" w:type="dxa"/>
          </w:tcPr>
          <w:p w14:paraId="767BEF1B" w14:textId="479DEB52" w:rsidR="00010F69" w:rsidRPr="004C1888" w:rsidRDefault="00010F69" w:rsidP="00010F69">
            <w:pPr>
              <w:autoSpaceDE w:val="0"/>
              <w:autoSpaceDN w:val="0"/>
              <w:adjustRightInd w:val="0"/>
              <w:spacing w:line="360" w:lineRule="auto"/>
              <w:jc w:val="both"/>
              <w:rPr>
                <w:rFonts w:cstheme="minorHAnsi"/>
                <w:color w:val="000000"/>
                <w:sz w:val="18"/>
                <w:szCs w:val="18"/>
              </w:rPr>
            </w:pPr>
            <w:hyperlink r:id="rId10" w:history="1">
              <w:r w:rsidRPr="009A03BC">
                <w:rPr>
                  <w:rStyle w:val="Hiperligao"/>
                  <w:rFonts w:cstheme="minorHAnsi"/>
                  <w:sz w:val="18"/>
                  <w:szCs w:val="18"/>
                </w:rPr>
                <w:t>https://recuperarportugal.gov.pt/wp-content/uploads/2021/12/Orientacao-Tecnica-No1_C04_i01_2021-2.pdf</w:t>
              </w:r>
            </w:hyperlink>
          </w:p>
        </w:tc>
        <w:tc>
          <w:tcPr>
            <w:tcW w:w="1417" w:type="dxa"/>
          </w:tcPr>
          <w:p w14:paraId="4433DFE5"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33FE4571"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675710B9"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0B90C610" w14:textId="03643C95" w:rsidR="00010F69" w:rsidRPr="004C1888" w:rsidRDefault="00010F69" w:rsidP="00010F69">
            <w:pPr>
              <w:autoSpaceDE w:val="0"/>
              <w:autoSpaceDN w:val="0"/>
              <w:adjustRightInd w:val="0"/>
              <w:spacing w:line="360" w:lineRule="auto"/>
              <w:jc w:val="both"/>
              <w:rPr>
                <w:rFonts w:cstheme="minorHAnsi"/>
                <w:color w:val="000000"/>
                <w:sz w:val="18"/>
                <w:szCs w:val="18"/>
              </w:rPr>
            </w:pPr>
            <w:r>
              <w:rPr>
                <w:rFonts w:cstheme="minorHAnsi"/>
                <w:color w:val="000000"/>
                <w:sz w:val="18"/>
                <w:szCs w:val="18"/>
              </w:rPr>
              <w:t>07/01/2022</w:t>
            </w:r>
          </w:p>
        </w:tc>
        <w:tc>
          <w:tcPr>
            <w:tcW w:w="1359" w:type="dxa"/>
          </w:tcPr>
          <w:p w14:paraId="6AF028B2" w14:textId="77777777" w:rsidR="00010F69" w:rsidRPr="00010F69" w:rsidRDefault="00010F69" w:rsidP="00010F69">
            <w:pPr>
              <w:autoSpaceDE w:val="0"/>
              <w:autoSpaceDN w:val="0"/>
              <w:adjustRightInd w:val="0"/>
              <w:spacing w:line="360" w:lineRule="auto"/>
              <w:jc w:val="center"/>
              <w:rPr>
                <w:rFonts w:cstheme="minorHAnsi"/>
                <w:color w:val="000000"/>
                <w:sz w:val="18"/>
                <w:szCs w:val="18"/>
              </w:rPr>
            </w:pPr>
          </w:p>
          <w:p w14:paraId="0B2AE2BE" w14:textId="1A56291B" w:rsidR="00010F69" w:rsidRPr="004C1888" w:rsidRDefault="00010F69" w:rsidP="00010F69">
            <w:pPr>
              <w:autoSpaceDE w:val="0"/>
              <w:autoSpaceDN w:val="0"/>
              <w:adjustRightInd w:val="0"/>
              <w:spacing w:line="360" w:lineRule="auto"/>
              <w:jc w:val="center"/>
              <w:rPr>
                <w:rFonts w:cstheme="minorHAnsi"/>
                <w:color w:val="000000"/>
                <w:sz w:val="18"/>
                <w:szCs w:val="18"/>
              </w:rPr>
            </w:pPr>
            <w:r w:rsidRPr="00010F69">
              <w:rPr>
                <w:rFonts w:cstheme="minorHAnsi"/>
                <w:color w:val="000000"/>
                <w:sz w:val="18"/>
                <w:szCs w:val="18"/>
              </w:rPr>
              <w:t xml:space="preserve"> Cinemateca Portuguesa – Museu do Cinema, I.P.</w:t>
            </w:r>
          </w:p>
        </w:tc>
        <w:tc>
          <w:tcPr>
            <w:tcW w:w="1188" w:type="dxa"/>
          </w:tcPr>
          <w:p w14:paraId="0C6564DD"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7D77B6A6"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47A39A59" w14:textId="77777777" w:rsidR="00010F69" w:rsidRDefault="00010F69" w:rsidP="00010F69">
            <w:pPr>
              <w:autoSpaceDE w:val="0"/>
              <w:autoSpaceDN w:val="0"/>
              <w:adjustRightInd w:val="0"/>
              <w:spacing w:line="360" w:lineRule="auto"/>
              <w:jc w:val="both"/>
              <w:rPr>
                <w:rFonts w:cstheme="minorHAnsi"/>
                <w:color w:val="000000"/>
                <w:sz w:val="18"/>
                <w:szCs w:val="18"/>
              </w:rPr>
            </w:pPr>
          </w:p>
          <w:p w14:paraId="4C0B12FA" w14:textId="6E168D1A" w:rsidR="00010F69" w:rsidRPr="004C1888" w:rsidRDefault="00010F69" w:rsidP="00010F69">
            <w:pPr>
              <w:autoSpaceDE w:val="0"/>
              <w:autoSpaceDN w:val="0"/>
              <w:adjustRightInd w:val="0"/>
              <w:spacing w:line="360" w:lineRule="auto"/>
              <w:jc w:val="both"/>
              <w:rPr>
                <w:rFonts w:cstheme="minorHAnsi"/>
                <w:color w:val="000000"/>
                <w:sz w:val="18"/>
                <w:szCs w:val="18"/>
              </w:rPr>
            </w:pPr>
            <w:r>
              <w:rPr>
                <w:rFonts w:cstheme="minorHAnsi"/>
                <w:color w:val="000000"/>
                <w:sz w:val="18"/>
                <w:szCs w:val="18"/>
              </w:rPr>
              <w:t>€10.000.000</w:t>
            </w:r>
          </w:p>
        </w:tc>
      </w:tr>
    </w:tbl>
    <w:p w14:paraId="462651EB" w14:textId="47217A77" w:rsidR="00595D41" w:rsidRDefault="00595D41" w:rsidP="004C1888">
      <w:pPr>
        <w:tabs>
          <w:tab w:val="left" w:pos="6946"/>
        </w:tabs>
        <w:autoSpaceDE w:val="0"/>
        <w:autoSpaceDN w:val="0"/>
        <w:adjustRightInd w:val="0"/>
        <w:spacing w:after="0" w:line="360" w:lineRule="auto"/>
        <w:jc w:val="both"/>
        <w:rPr>
          <w:rFonts w:cstheme="minorHAnsi"/>
          <w:color w:val="000000"/>
        </w:rPr>
      </w:pPr>
    </w:p>
    <w:sectPr w:rsidR="00595D41" w:rsidSect="00DB2B90">
      <w:headerReference w:type="default" r:id="rId11"/>
      <w:footerReference w:type="default" r:id="rId12"/>
      <w:headerReference w:type="first" r:id="rId13"/>
      <w:footerReference w:type="first" r:id="rId14"/>
      <w:pgSz w:w="11906" w:h="16838"/>
      <w:pgMar w:top="1560" w:right="849" w:bottom="1843" w:left="1701" w:header="568" w:footer="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B0C1" w14:textId="77777777" w:rsidR="000C23DE" w:rsidRDefault="000C23DE" w:rsidP="00BB5194">
      <w:pPr>
        <w:spacing w:after="0" w:line="240" w:lineRule="auto"/>
      </w:pPr>
      <w:r>
        <w:separator/>
      </w:r>
    </w:p>
  </w:endnote>
  <w:endnote w:type="continuationSeparator" w:id="0">
    <w:p w14:paraId="3BFC583F" w14:textId="77777777" w:rsidR="000C23DE" w:rsidRDefault="000C23DE" w:rsidP="00BB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142A" w14:textId="152E8F05" w:rsidR="00396DF8" w:rsidRDefault="00396DF8" w:rsidP="00E24FE9">
    <w:pPr>
      <w:pStyle w:val="Rodap"/>
      <w:tabs>
        <w:tab w:val="clear" w:pos="4252"/>
        <w:tab w:val="clear" w:pos="8504"/>
        <w:tab w:val="left" w:pos="851"/>
        <w:tab w:val="right" w:pos="9072"/>
      </w:tabs>
      <w:ind w:left="-851"/>
      <w:jc w:val="right"/>
      <w:rPr>
        <w:sz w:val="16"/>
        <w:szCs w:val="16"/>
      </w:rPr>
    </w:pPr>
    <w:r w:rsidRPr="00357822">
      <w:rPr>
        <w:sz w:val="16"/>
        <w:szCs w:val="16"/>
      </w:rPr>
      <w:t xml:space="preserve">                                                         </w:t>
    </w:r>
    <w:r w:rsidR="00E24FE9" w:rsidRPr="00E24FE9">
      <w:rPr>
        <w:noProof/>
        <w:sz w:val="16"/>
        <w:lang w:eastAsia="pt-PT"/>
      </w:rPr>
      <w:drawing>
        <wp:inline distT="0" distB="0" distL="0" distR="0" wp14:anchorId="6C6F3234" wp14:editId="00E5D8D9">
          <wp:extent cx="1068705" cy="381000"/>
          <wp:effectExtent l="0" t="0" r="0" b="0"/>
          <wp:docPr id="126" name="Imagem 126" descr="C:\Users\nuno.dias\AppData\Local\Temp\Rar$DIa30408.2328\PRR_Logotipos-black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no.dias\AppData\Local\Temp\Rar$DIa30408.2328\PRR_Logotipos-black_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381000"/>
                  </a:xfrm>
                  <a:prstGeom prst="rect">
                    <a:avLst/>
                  </a:prstGeom>
                  <a:noFill/>
                  <a:ln>
                    <a:noFill/>
                  </a:ln>
                </pic:spPr>
              </pic:pic>
            </a:graphicData>
          </a:graphic>
        </wp:inline>
      </w:drawing>
    </w:r>
    <w:r w:rsidR="00E24FE9">
      <w:rPr>
        <w:noProof/>
        <w:lang w:eastAsia="pt-PT"/>
      </w:rPr>
      <w:drawing>
        <wp:inline distT="0" distB="0" distL="0" distR="0" wp14:anchorId="3DD82F59" wp14:editId="299D2F04">
          <wp:extent cx="3490159" cy="749300"/>
          <wp:effectExtent l="0" t="0" r="0" b="0"/>
          <wp:docPr id="127" name="Image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2006" cy="751843"/>
                  </a:xfrm>
                  <a:prstGeom prst="rect">
                    <a:avLst/>
                  </a:prstGeom>
                  <a:noFill/>
                  <a:ln>
                    <a:noFill/>
                  </a:ln>
                </pic:spPr>
              </pic:pic>
            </a:graphicData>
          </a:graphic>
        </wp:inline>
      </w:drawing>
    </w:r>
    <w:r w:rsidRPr="00357822">
      <w:rPr>
        <w:sz w:val="16"/>
        <w:szCs w:val="16"/>
      </w:rPr>
      <w:t xml:space="preserve">                                                             </w:t>
    </w:r>
    <w:r w:rsidRPr="00D43F42">
      <w:rPr>
        <w:sz w:val="16"/>
        <w:szCs w:val="16"/>
      </w:rPr>
      <w:fldChar w:fldCharType="begin"/>
    </w:r>
    <w:r w:rsidRPr="00D43F42">
      <w:rPr>
        <w:sz w:val="16"/>
        <w:szCs w:val="16"/>
      </w:rPr>
      <w:instrText>PAGE   \* MERGEFORMAT</w:instrText>
    </w:r>
    <w:r w:rsidRPr="00D43F42">
      <w:rPr>
        <w:sz w:val="16"/>
        <w:szCs w:val="16"/>
      </w:rPr>
      <w:fldChar w:fldCharType="separate"/>
    </w:r>
    <w:r w:rsidR="00553E0A">
      <w:rPr>
        <w:noProof/>
        <w:sz w:val="16"/>
        <w:szCs w:val="16"/>
      </w:rPr>
      <w:t>1</w:t>
    </w:r>
    <w:r w:rsidRPr="00D43F42">
      <w:rPr>
        <w:sz w:val="16"/>
        <w:szCs w:val="16"/>
      </w:rPr>
      <w:fldChar w:fldCharType="end"/>
    </w:r>
  </w:p>
  <w:p w14:paraId="36317341" w14:textId="77777777" w:rsidR="00B80B6A" w:rsidRDefault="00B80B6A" w:rsidP="00E24FE9">
    <w:pPr>
      <w:pStyle w:val="Rodap"/>
      <w:tabs>
        <w:tab w:val="clear" w:pos="4252"/>
        <w:tab w:val="clear" w:pos="8504"/>
        <w:tab w:val="left" w:pos="851"/>
        <w:tab w:val="right" w:pos="9072"/>
      </w:tabs>
      <w:ind w:left="-85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3A19" w14:textId="27BBB3A5" w:rsidR="00396DF8" w:rsidRDefault="005655BC" w:rsidP="005655BC">
    <w:pPr>
      <w:pStyle w:val="Rodap"/>
      <w:tabs>
        <w:tab w:val="clear" w:pos="4252"/>
        <w:tab w:val="clear" w:pos="8504"/>
        <w:tab w:val="left" w:pos="1843"/>
        <w:tab w:val="center" w:pos="4536"/>
        <w:tab w:val="right" w:pos="8789"/>
      </w:tabs>
      <w:jc w:val="right"/>
    </w:pPr>
    <w:r>
      <w:rPr>
        <w:noProof/>
        <w:lang w:eastAsia="pt-PT"/>
      </w:rPr>
      <w:drawing>
        <wp:inline distT="0" distB="0" distL="0" distR="0" wp14:anchorId="66E7923D" wp14:editId="119195F5">
          <wp:extent cx="1068705" cy="381000"/>
          <wp:effectExtent l="0" t="0" r="0" b="0"/>
          <wp:docPr id="130" name="Imagem 130" descr="C:\Users\nuno.dias\AppData\Local\Temp\Rar$DIa30408.2328\PRR_Logotipos-black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no.dias\AppData\Local\Temp\Rar$DIa30408.2328\PRR_Logotipos-black_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381000"/>
                  </a:xfrm>
                  <a:prstGeom prst="rect">
                    <a:avLst/>
                  </a:prstGeom>
                  <a:noFill/>
                  <a:ln>
                    <a:noFill/>
                  </a:ln>
                </pic:spPr>
              </pic:pic>
            </a:graphicData>
          </a:graphic>
        </wp:inline>
      </w:drawing>
    </w:r>
    <w:r w:rsidR="00396DF8">
      <w:rPr>
        <w:noProof/>
        <w:lang w:eastAsia="pt-PT"/>
      </w:rPr>
      <w:drawing>
        <wp:inline distT="0" distB="0" distL="0" distR="0" wp14:anchorId="76C7FA6F" wp14:editId="70DF6F5B">
          <wp:extent cx="3490159" cy="749300"/>
          <wp:effectExtent l="0" t="0" r="0"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2006" cy="751843"/>
                  </a:xfrm>
                  <a:prstGeom prst="rect">
                    <a:avLst/>
                  </a:prstGeom>
                  <a:noFill/>
                  <a:ln>
                    <a:noFill/>
                  </a:ln>
                </pic:spPr>
              </pic:pic>
            </a:graphicData>
          </a:graphic>
        </wp:inline>
      </w:drawing>
    </w:r>
  </w:p>
  <w:p w14:paraId="2D3C9B30" w14:textId="77777777" w:rsidR="00396DF8" w:rsidRDefault="00396D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8DD3" w14:textId="77777777" w:rsidR="000C23DE" w:rsidRDefault="000C23DE" w:rsidP="00BB5194">
      <w:pPr>
        <w:spacing w:after="0" w:line="240" w:lineRule="auto"/>
      </w:pPr>
      <w:r>
        <w:separator/>
      </w:r>
    </w:p>
  </w:footnote>
  <w:footnote w:type="continuationSeparator" w:id="0">
    <w:p w14:paraId="13690ABD" w14:textId="77777777" w:rsidR="000C23DE" w:rsidRDefault="000C23DE" w:rsidP="00BB5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BE56" w14:textId="02028C20" w:rsidR="00396DF8" w:rsidRDefault="00E24FE9" w:rsidP="00BB5194">
    <w:pPr>
      <w:pStyle w:val="Cabealho"/>
      <w:jc w:val="center"/>
    </w:pPr>
    <w:r w:rsidRPr="00E24FE9">
      <w:rPr>
        <w:noProof/>
      </w:rPr>
      <w:drawing>
        <wp:anchor distT="0" distB="0" distL="114300" distR="114300" simplePos="0" relativeHeight="251662336" behindDoc="0" locked="0" layoutInCell="1" allowOverlap="1" wp14:anchorId="36C64E24" wp14:editId="70B07C7D">
          <wp:simplePos x="0" y="0"/>
          <wp:positionH relativeFrom="column">
            <wp:posOffset>0</wp:posOffset>
          </wp:positionH>
          <wp:positionV relativeFrom="paragraph">
            <wp:posOffset>-635</wp:posOffset>
          </wp:positionV>
          <wp:extent cx="1103564" cy="446747"/>
          <wp:effectExtent l="0" t="0" r="0" b="0"/>
          <wp:wrapNone/>
          <wp:docPr id="124" name="Imagem 124" descr="C:\Users\manuela.bicho\AppData\Local\Temp\$$_2971\Digital_PT_4C_V_FC_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descr="C:\Users\manuela.bicho\AppData\Local\Temp\$$_2971\Digital_PT_4C_V_FC_Cultura.png"/>
                  <pic:cNvPicPr>
                    <a:picLocks noChangeAspect="1"/>
                  </pic:cNvPicPr>
                </pic:nvPicPr>
                <pic:blipFill rotWithShape="1">
                  <a:blip r:embed="rId1" cstate="print">
                    <a:extLst>
                      <a:ext uri="{28A0092B-C50C-407E-A947-70E740481C1C}">
                        <a14:useLocalDpi xmlns:a14="http://schemas.microsoft.com/office/drawing/2010/main" val="0"/>
                      </a:ext>
                    </a:extLst>
                  </a:blip>
                  <a:srcRect t="7260" b="11432"/>
                  <a:stretch/>
                </pic:blipFill>
                <pic:spPr bwMode="auto">
                  <a:xfrm>
                    <a:off x="0" y="0"/>
                    <a:ext cx="1103564" cy="446747"/>
                  </a:xfrm>
                  <a:prstGeom prst="rect">
                    <a:avLst/>
                  </a:prstGeom>
                  <a:noFill/>
                  <a:ln>
                    <a:noFill/>
                  </a:ln>
                  <a:extLst>
                    <a:ext uri="{53640926-AAD7-44D8-BBD7-CCE9431645EC}">
                      <a14:shadowObscured xmlns:a14="http://schemas.microsoft.com/office/drawing/2010/main"/>
                    </a:ext>
                  </a:extLst>
                </pic:spPr>
              </pic:pic>
            </a:graphicData>
          </a:graphic>
        </wp:anchor>
      </w:drawing>
    </w:r>
    <w:r w:rsidRPr="00E24FE9">
      <w:rPr>
        <w:noProof/>
      </w:rPr>
      <w:drawing>
        <wp:anchor distT="0" distB="0" distL="114300" distR="114300" simplePos="0" relativeHeight="251663360" behindDoc="0" locked="0" layoutInCell="1" allowOverlap="1" wp14:anchorId="3DA4CE35" wp14:editId="76879866">
          <wp:simplePos x="0" y="0"/>
          <wp:positionH relativeFrom="column">
            <wp:posOffset>1532255</wp:posOffset>
          </wp:positionH>
          <wp:positionV relativeFrom="paragraph">
            <wp:posOffset>131445</wp:posOffset>
          </wp:positionV>
          <wp:extent cx="2144067" cy="169890"/>
          <wp:effectExtent l="0" t="0" r="0" b="0"/>
          <wp:wrapNone/>
          <wp:docPr id="125" name="Image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4067" cy="169890"/>
                  </a:xfrm>
                  <a:prstGeom prst="rect">
                    <a:avLst/>
                  </a:prstGeom>
                  <a:noFill/>
                </pic:spPr>
              </pic:pic>
            </a:graphicData>
          </a:graphic>
        </wp:anchor>
      </w:drawing>
    </w:r>
  </w:p>
  <w:p w14:paraId="39EEB632" w14:textId="77777777" w:rsidR="00396DF8" w:rsidRDefault="00396DF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525F" w14:textId="0AC2EA89" w:rsidR="00396DF8" w:rsidRDefault="00396DF8" w:rsidP="0095206C">
    <w:pPr>
      <w:pStyle w:val="Cabealho"/>
      <w:jc w:val="center"/>
    </w:pPr>
  </w:p>
  <w:p w14:paraId="1F3B078A" w14:textId="6DAD963B" w:rsidR="00396DF8" w:rsidRDefault="009F0B89">
    <w:pPr>
      <w:pStyle w:val="Cabealho"/>
    </w:pPr>
    <w:r w:rsidRPr="009F0B89">
      <w:rPr>
        <w:noProof/>
      </w:rPr>
      <w:drawing>
        <wp:anchor distT="0" distB="0" distL="114300" distR="114300" simplePos="0" relativeHeight="251659264" behindDoc="0" locked="0" layoutInCell="1" allowOverlap="1" wp14:anchorId="37694860" wp14:editId="5D0A56ED">
          <wp:simplePos x="0" y="0"/>
          <wp:positionH relativeFrom="column">
            <wp:posOffset>0</wp:posOffset>
          </wp:positionH>
          <wp:positionV relativeFrom="paragraph">
            <wp:posOffset>-635</wp:posOffset>
          </wp:positionV>
          <wp:extent cx="1103564" cy="446747"/>
          <wp:effectExtent l="0" t="0" r="0" b="0"/>
          <wp:wrapNone/>
          <wp:docPr id="128" name="Imagem 128" descr="C:\Users\manuela.bicho\AppData\Local\Temp\$$_2971\Digital_PT_4C_V_FC_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descr="C:\Users\manuela.bicho\AppData\Local\Temp\$$_2971\Digital_PT_4C_V_FC_Cultura.png"/>
                  <pic:cNvPicPr>
                    <a:picLocks noChangeAspect="1"/>
                  </pic:cNvPicPr>
                </pic:nvPicPr>
                <pic:blipFill rotWithShape="1">
                  <a:blip r:embed="rId1" cstate="print">
                    <a:extLst>
                      <a:ext uri="{28A0092B-C50C-407E-A947-70E740481C1C}">
                        <a14:useLocalDpi xmlns:a14="http://schemas.microsoft.com/office/drawing/2010/main" val="0"/>
                      </a:ext>
                    </a:extLst>
                  </a:blip>
                  <a:srcRect t="7260" b="11432"/>
                  <a:stretch/>
                </pic:blipFill>
                <pic:spPr bwMode="auto">
                  <a:xfrm>
                    <a:off x="0" y="0"/>
                    <a:ext cx="1103564" cy="446747"/>
                  </a:xfrm>
                  <a:prstGeom prst="rect">
                    <a:avLst/>
                  </a:prstGeom>
                  <a:noFill/>
                  <a:ln>
                    <a:noFill/>
                  </a:ln>
                  <a:extLst>
                    <a:ext uri="{53640926-AAD7-44D8-BBD7-CCE9431645EC}">
                      <a14:shadowObscured xmlns:a14="http://schemas.microsoft.com/office/drawing/2010/main"/>
                    </a:ext>
                  </a:extLst>
                </pic:spPr>
              </pic:pic>
            </a:graphicData>
          </a:graphic>
        </wp:anchor>
      </w:drawing>
    </w:r>
    <w:r w:rsidRPr="009F0B89">
      <w:rPr>
        <w:noProof/>
      </w:rPr>
      <w:drawing>
        <wp:anchor distT="0" distB="0" distL="114300" distR="114300" simplePos="0" relativeHeight="251660288" behindDoc="0" locked="0" layoutInCell="1" allowOverlap="1" wp14:anchorId="70B5A9F2" wp14:editId="04459FAE">
          <wp:simplePos x="0" y="0"/>
          <wp:positionH relativeFrom="column">
            <wp:posOffset>1532255</wp:posOffset>
          </wp:positionH>
          <wp:positionV relativeFrom="paragraph">
            <wp:posOffset>131445</wp:posOffset>
          </wp:positionV>
          <wp:extent cx="2144067" cy="169890"/>
          <wp:effectExtent l="0" t="0" r="0" b="0"/>
          <wp:wrapNone/>
          <wp:docPr id="129"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4067" cy="1698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374EF8"/>
    <w:multiLevelType w:val="hybridMultilevel"/>
    <w:tmpl w:val="0725DF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3844D6"/>
    <w:multiLevelType w:val="hybridMultilevel"/>
    <w:tmpl w:val="69827D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6D4B78"/>
    <w:multiLevelType w:val="hybridMultilevel"/>
    <w:tmpl w:val="8157DE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A1A14F"/>
    <w:multiLevelType w:val="hybridMultilevel"/>
    <w:tmpl w:val="C984BC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5EEDE3"/>
    <w:multiLevelType w:val="hybridMultilevel"/>
    <w:tmpl w:val="2F6E8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C92C7C5"/>
    <w:multiLevelType w:val="hybridMultilevel"/>
    <w:tmpl w:val="DF2A8C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C73A38"/>
    <w:multiLevelType w:val="hybridMultilevel"/>
    <w:tmpl w:val="3F04121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15:restartNumberingAfterBreak="0">
    <w:nsid w:val="03435FA9"/>
    <w:multiLevelType w:val="hybridMultilevel"/>
    <w:tmpl w:val="387C47F8"/>
    <w:lvl w:ilvl="0" w:tplc="08160001">
      <w:start w:val="1"/>
      <w:numFmt w:val="bullet"/>
      <w:lvlText w:val=""/>
      <w:lvlJc w:val="left"/>
      <w:pPr>
        <w:tabs>
          <w:tab w:val="num" w:pos="1068"/>
        </w:tabs>
        <w:ind w:left="1068" w:hanging="360"/>
      </w:pPr>
      <w:rPr>
        <w:rFonts w:ascii="Symbol" w:hAnsi="Symbol" w:hint="default"/>
      </w:rPr>
    </w:lvl>
    <w:lvl w:ilvl="1" w:tplc="3648B152" w:tentative="1">
      <w:start w:val="1"/>
      <w:numFmt w:val="bullet"/>
      <w:lvlText w:val="-"/>
      <w:lvlJc w:val="left"/>
      <w:pPr>
        <w:tabs>
          <w:tab w:val="num" w:pos="1788"/>
        </w:tabs>
        <w:ind w:left="1788" w:hanging="360"/>
      </w:pPr>
      <w:rPr>
        <w:rFonts w:ascii="Times New Roman" w:hAnsi="Times New Roman" w:hint="default"/>
      </w:rPr>
    </w:lvl>
    <w:lvl w:ilvl="2" w:tplc="08AAB1E8" w:tentative="1">
      <w:start w:val="1"/>
      <w:numFmt w:val="bullet"/>
      <w:lvlText w:val="-"/>
      <w:lvlJc w:val="left"/>
      <w:pPr>
        <w:tabs>
          <w:tab w:val="num" w:pos="2508"/>
        </w:tabs>
        <w:ind w:left="2508" w:hanging="360"/>
      </w:pPr>
      <w:rPr>
        <w:rFonts w:ascii="Times New Roman" w:hAnsi="Times New Roman" w:hint="default"/>
      </w:rPr>
    </w:lvl>
    <w:lvl w:ilvl="3" w:tplc="BF2E0032" w:tentative="1">
      <w:start w:val="1"/>
      <w:numFmt w:val="bullet"/>
      <w:lvlText w:val="-"/>
      <w:lvlJc w:val="left"/>
      <w:pPr>
        <w:tabs>
          <w:tab w:val="num" w:pos="3228"/>
        </w:tabs>
        <w:ind w:left="3228" w:hanging="360"/>
      </w:pPr>
      <w:rPr>
        <w:rFonts w:ascii="Times New Roman" w:hAnsi="Times New Roman" w:hint="default"/>
      </w:rPr>
    </w:lvl>
    <w:lvl w:ilvl="4" w:tplc="BF34C26A" w:tentative="1">
      <w:start w:val="1"/>
      <w:numFmt w:val="bullet"/>
      <w:lvlText w:val="-"/>
      <w:lvlJc w:val="left"/>
      <w:pPr>
        <w:tabs>
          <w:tab w:val="num" w:pos="3948"/>
        </w:tabs>
        <w:ind w:left="3948" w:hanging="360"/>
      </w:pPr>
      <w:rPr>
        <w:rFonts w:ascii="Times New Roman" w:hAnsi="Times New Roman" w:hint="default"/>
      </w:rPr>
    </w:lvl>
    <w:lvl w:ilvl="5" w:tplc="1694B3CC" w:tentative="1">
      <w:start w:val="1"/>
      <w:numFmt w:val="bullet"/>
      <w:lvlText w:val="-"/>
      <w:lvlJc w:val="left"/>
      <w:pPr>
        <w:tabs>
          <w:tab w:val="num" w:pos="4668"/>
        </w:tabs>
        <w:ind w:left="4668" w:hanging="360"/>
      </w:pPr>
      <w:rPr>
        <w:rFonts w:ascii="Times New Roman" w:hAnsi="Times New Roman" w:hint="default"/>
      </w:rPr>
    </w:lvl>
    <w:lvl w:ilvl="6" w:tplc="12DE1DEA" w:tentative="1">
      <w:start w:val="1"/>
      <w:numFmt w:val="bullet"/>
      <w:lvlText w:val="-"/>
      <w:lvlJc w:val="left"/>
      <w:pPr>
        <w:tabs>
          <w:tab w:val="num" w:pos="5388"/>
        </w:tabs>
        <w:ind w:left="5388" w:hanging="360"/>
      </w:pPr>
      <w:rPr>
        <w:rFonts w:ascii="Times New Roman" w:hAnsi="Times New Roman" w:hint="default"/>
      </w:rPr>
    </w:lvl>
    <w:lvl w:ilvl="7" w:tplc="E74CDDB8" w:tentative="1">
      <w:start w:val="1"/>
      <w:numFmt w:val="bullet"/>
      <w:lvlText w:val="-"/>
      <w:lvlJc w:val="left"/>
      <w:pPr>
        <w:tabs>
          <w:tab w:val="num" w:pos="6108"/>
        </w:tabs>
        <w:ind w:left="6108" w:hanging="360"/>
      </w:pPr>
      <w:rPr>
        <w:rFonts w:ascii="Times New Roman" w:hAnsi="Times New Roman" w:hint="default"/>
      </w:rPr>
    </w:lvl>
    <w:lvl w:ilvl="8" w:tplc="5D3C4250" w:tentative="1">
      <w:start w:val="1"/>
      <w:numFmt w:val="bullet"/>
      <w:lvlText w:val="-"/>
      <w:lvlJc w:val="left"/>
      <w:pPr>
        <w:tabs>
          <w:tab w:val="num" w:pos="6828"/>
        </w:tabs>
        <w:ind w:left="6828" w:hanging="360"/>
      </w:pPr>
      <w:rPr>
        <w:rFonts w:ascii="Times New Roman" w:hAnsi="Times New Roman" w:hint="default"/>
      </w:rPr>
    </w:lvl>
  </w:abstractNum>
  <w:abstractNum w:abstractNumId="8" w15:restartNumberingAfterBreak="0">
    <w:nsid w:val="0633D9C7"/>
    <w:multiLevelType w:val="hybridMultilevel"/>
    <w:tmpl w:val="71F03B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9A3CC2"/>
    <w:multiLevelType w:val="hybridMultilevel"/>
    <w:tmpl w:val="180AB106"/>
    <w:lvl w:ilvl="0" w:tplc="08160017">
      <w:start w:val="1"/>
      <w:numFmt w:val="lowerLetter"/>
      <w:lvlText w:val="%1)"/>
      <w:lvlJc w:val="left"/>
      <w:pPr>
        <w:ind w:left="764" w:hanging="360"/>
      </w:pPr>
    </w:lvl>
    <w:lvl w:ilvl="1" w:tplc="08160019" w:tentative="1">
      <w:start w:val="1"/>
      <w:numFmt w:val="lowerLetter"/>
      <w:lvlText w:val="%2."/>
      <w:lvlJc w:val="left"/>
      <w:pPr>
        <w:ind w:left="1484" w:hanging="360"/>
      </w:pPr>
    </w:lvl>
    <w:lvl w:ilvl="2" w:tplc="0816001B" w:tentative="1">
      <w:start w:val="1"/>
      <w:numFmt w:val="lowerRoman"/>
      <w:lvlText w:val="%3."/>
      <w:lvlJc w:val="right"/>
      <w:pPr>
        <w:ind w:left="2204" w:hanging="180"/>
      </w:pPr>
    </w:lvl>
    <w:lvl w:ilvl="3" w:tplc="0816000F" w:tentative="1">
      <w:start w:val="1"/>
      <w:numFmt w:val="decimal"/>
      <w:lvlText w:val="%4."/>
      <w:lvlJc w:val="left"/>
      <w:pPr>
        <w:ind w:left="2924" w:hanging="360"/>
      </w:pPr>
    </w:lvl>
    <w:lvl w:ilvl="4" w:tplc="08160019" w:tentative="1">
      <w:start w:val="1"/>
      <w:numFmt w:val="lowerLetter"/>
      <w:lvlText w:val="%5."/>
      <w:lvlJc w:val="left"/>
      <w:pPr>
        <w:ind w:left="3644" w:hanging="360"/>
      </w:pPr>
    </w:lvl>
    <w:lvl w:ilvl="5" w:tplc="0816001B" w:tentative="1">
      <w:start w:val="1"/>
      <w:numFmt w:val="lowerRoman"/>
      <w:lvlText w:val="%6."/>
      <w:lvlJc w:val="right"/>
      <w:pPr>
        <w:ind w:left="4364" w:hanging="180"/>
      </w:pPr>
    </w:lvl>
    <w:lvl w:ilvl="6" w:tplc="0816000F" w:tentative="1">
      <w:start w:val="1"/>
      <w:numFmt w:val="decimal"/>
      <w:lvlText w:val="%7."/>
      <w:lvlJc w:val="left"/>
      <w:pPr>
        <w:ind w:left="5084" w:hanging="360"/>
      </w:pPr>
    </w:lvl>
    <w:lvl w:ilvl="7" w:tplc="08160019" w:tentative="1">
      <w:start w:val="1"/>
      <w:numFmt w:val="lowerLetter"/>
      <w:lvlText w:val="%8."/>
      <w:lvlJc w:val="left"/>
      <w:pPr>
        <w:ind w:left="5804" w:hanging="360"/>
      </w:pPr>
    </w:lvl>
    <w:lvl w:ilvl="8" w:tplc="0816001B" w:tentative="1">
      <w:start w:val="1"/>
      <w:numFmt w:val="lowerRoman"/>
      <w:lvlText w:val="%9."/>
      <w:lvlJc w:val="right"/>
      <w:pPr>
        <w:ind w:left="6524" w:hanging="180"/>
      </w:pPr>
    </w:lvl>
  </w:abstractNum>
  <w:abstractNum w:abstractNumId="10" w15:restartNumberingAfterBreak="0">
    <w:nsid w:val="099D6BF2"/>
    <w:multiLevelType w:val="hybridMultilevel"/>
    <w:tmpl w:val="4A005324"/>
    <w:lvl w:ilvl="0" w:tplc="3A52A804">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0ADA1F28"/>
    <w:multiLevelType w:val="hybridMultilevel"/>
    <w:tmpl w:val="B93F99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AF75E5"/>
    <w:multiLevelType w:val="hybridMultilevel"/>
    <w:tmpl w:val="65EEF1C2"/>
    <w:lvl w:ilvl="0" w:tplc="D4007A9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0BE164E6"/>
    <w:multiLevelType w:val="hybridMultilevel"/>
    <w:tmpl w:val="51688D6C"/>
    <w:lvl w:ilvl="0" w:tplc="FFFFFFFF">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C1029B6">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C93E0E"/>
    <w:multiLevelType w:val="hybridMultilevel"/>
    <w:tmpl w:val="675554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1494486"/>
    <w:multiLevelType w:val="hybridMultilevel"/>
    <w:tmpl w:val="5156A734"/>
    <w:lvl w:ilvl="0" w:tplc="4C3C1C6A">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2F74F72"/>
    <w:multiLevelType w:val="hybridMultilevel"/>
    <w:tmpl w:val="082608F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14467BE3"/>
    <w:multiLevelType w:val="hybridMultilevel"/>
    <w:tmpl w:val="92181028"/>
    <w:lvl w:ilvl="0" w:tplc="828CBA9C">
      <w:start w:val="1"/>
      <w:numFmt w:val="decimal"/>
      <w:lvlText w:val="%1."/>
      <w:lvlJc w:val="left"/>
      <w:pPr>
        <w:ind w:left="1096" w:hanging="67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8" w15:restartNumberingAfterBreak="0">
    <w:nsid w:val="17474732"/>
    <w:multiLevelType w:val="hybridMultilevel"/>
    <w:tmpl w:val="7913A5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F745739"/>
    <w:multiLevelType w:val="hybridMultilevel"/>
    <w:tmpl w:val="A00A4274"/>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01C0B89"/>
    <w:multiLevelType w:val="hybridMultilevel"/>
    <w:tmpl w:val="427881D2"/>
    <w:lvl w:ilvl="0" w:tplc="485C8734">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23576842"/>
    <w:multiLevelType w:val="hybridMultilevel"/>
    <w:tmpl w:val="01AED27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2478132F"/>
    <w:multiLevelType w:val="hybridMultilevel"/>
    <w:tmpl w:val="913095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7C85DA2"/>
    <w:multiLevelType w:val="hybridMultilevel"/>
    <w:tmpl w:val="2F541C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073E07"/>
    <w:multiLevelType w:val="hybridMultilevel"/>
    <w:tmpl w:val="BB9836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2CC06C24"/>
    <w:multiLevelType w:val="hybridMultilevel"/>
    <w:tmpl w:val="C8ACE3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309D2C66"/>
    <w:multiLevelType w:val="hybridMultilevel"/>
    <w:tmpl w:val="0012FB92"/>
    <w:lvl w:ilvl="0" w:tplc="0816000F">
      <w:start w:val="1"/>
      <w:numFmt w:val="decimal"/>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7" w15:restartNumberingAfterBreak="0">
    <w:nsid w:val="319C6429"/>
    <w:multiLevelType w:val="hybridMultilevel"/>
    <w:tmpl w:val="40C8B470"/>
    <w:lvl w:ilvl="0" w:tplc="EE5AB5F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3225756A"/>
    <w:multiLevelType w:val="hybridMultilevel"/>
    <w:tmpl w:val="5EA081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36301F14"/>
    <w:multiLevelType w:val="hybridMultilevel"/>
    <w:tmpl w:val="FEC2153E"/>
    <w:lvl w:ilvl="0" w:tplc="43E294D0">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388AE3BB"/>
    <w:multiLevelType w:val="hybridMultilevel"/>
    <w:tmpl w:val="F8A468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136725C"/>
    <w:multiLevelType w:val="hybridMultilevel"/>
    <w:tmpl w:val="1B42327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42D77EBE"/>
    <w:multiLevelType w:val="hybridMultilevel"/>
    <w:tmpl w:val="93CC858A"/>
    <w:lvl w:ilvl="0" w:tplc="A7781F5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45E516C6"/>
    <w:multiLevelType w:val="hybridMultilevel"/>
    <w:tmpl w:val="561AAB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49A655A0"/>
    <w:multiLevelType w:val="hybridMultilevel"/>
    <w:tmpl w:val="8314BA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ABA75EA"/>
    <w:multiLevelType w:val="hybridMultilevel"/>
    <w:tmpl w:val="ACB2935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4F012C80"/>
    <w:multiLevelType w:val="multilevel"/>
    <w:tmpl w:val="199A9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480745B"/>
    <w:multiLevelType w:val="hybridMultilevel"/>
    <w:tmpl w:val="2F541C4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5659692D"/>
    <w:multiLevelType w:val="hybridMultilevel"/>
    <w:tmpl w:val="2150B5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ADC7AA2"/>
    <w:multiLevelType w:val="hybridMultilevel"/>
    <w:tmpl w:val="16D8EE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2BC27E0"/>
    <w:multiLevelType w:val="hybridMultilevel"/>
    <w:tmpl w:val="B00BD8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7919A2"/>
    <w:multiLevelType w:val="hybridMultilevel"/>
    <w:tmpl w:val="FE1AE5F4"/>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1B457F0"/>
    <w:multiLevelType w:val="hybridMultilevel"/>
    <w:tmpl w:val="699AC3CA"/>
    <w:lvl w:ilvl="0" w:tplc="08160001">
      <w:start w:val="1"/>
      <w:numFmt w:val="bullet"/>
      <w:lvlText w:val=""/>
      <w:lvlJc w:val="left"/>
      <w:pPr>
        <w:tabs>
          <w:tab w:val="num" w:pos="1068"/>
        </w:tabs>
        <w:ind w:left="1068" w:hanging="360"/>
      </w:pPr>
      <w:rPr>
        <w:rFonts w:ascii="Symbol" w:hAnsi="Symbol" w:hint="default"/>
      </w:rPr>
    </w:lvl>
    <w:lvl w:ilvl="1" w:tplc="84540B06" w:tentative="1">
      <w:start w:val="1"/>
      <w:numFmt w:val="bullet"/>
      <w:lvlText w:val="-"/>
      <w:lvlJc w:val="left"/>
      <w:pPr>
        <w:tabs>
          <w:tab w:val="num" w:pos="1788"/>
        </w:tabs>
        <w:ind w:left="1788" w:hanging="360"/>
      </w:pPr>
      <w:rPr>
        <w:rFonts w:ascii="Times New Roman" w:hAnsi="Times New Roman" w:hint="default"/>
      </w:rPr>
    </w:lvl>
    <w:lvl w:ilvl="2" w:tplc="36B2B012" w:tentative="1">
      <w:start w:val="1"/>
      <w:numFmt w:val="bullet"/>
      <w:lvlText w:val="-"/>
      <w:lvlJc w:val="left"/>
      <w:pPr>
        <w:tabs>
          <w:tab w:val="num" w:pos="2508"/>
        </w:tabs>
        <w:ind w:left="2508" w:hanging="360"/>
      </w:pPr>
      <w:rPr>
        <w:rFonts w:ascii="Times New Roman" w:hAnsi="Times New Roman" w:hint="default"/>
      </w:rPr>
    </w:lvl>
    <w:lvl w:ilvl="3" w:tplc="57B05F50" w:tentative="1">
      <w:start w:val="1"/>
      <w:numFmt w:val="bullet"/>
      <w:lvlText w:val="-"/>
      <w:lvlJc w:val="left"/>
      <w:pPr>
        <w:tabs>
          <w:tab w:val="num" w:pos="3228"/>
        </w:tabs>
        <w:ind w:left="3228" w:hanging="360"/>
      </w:pPr>
      <w:rPr>
        <w:rFonts w:ascii="Times New Roman" w:hAnsi="Times New Roman" w:hint="default"/>
      </w:rPr>
    </w:lvl>
    <w:lvl w:ilvl="4" w:tplc="F460BB06" w:tentative="1">
      <w:start w:val="1"/>
      <w:numFmt w:val="bullet"/>
      <w:lvlText w:val="-"/>
      <w:lvlJc w:val="left"/>
      <w:pPr>
        <w:tabs>
          <w:tab w:val="num" w:pos="3948"/>
        </w:tabs>
        <w:ind w:left="3948" w:hanging="360"/>
      </w:pPr>
      <w:rPr>
        <w:rFonts w:ascii="Times New Roman" w:hAnsi="Times New Roman" w:hint="default"/>
      </w:rPr>
    </w:lvl>
    <w:lvl w:ilvl="5" w:tplc="48C66B90" w:tentative="1">
      <w:start w:val="1"/>
      <w:numFmt w:val="bullet"/>
      <w:lvlText w:val="-"/>
      <w:lvlJc w:val="left"/>
      <w:pPr>
        <w:tabs>
          <w:tab w:val="num" w:pos="4668"/>
        </w:tabs>
        <w:ind w:left="4668" w:hanging="360"/>
      </w:pPr>
      <w:rPr>
        <w:rFonts w:ascii="Times New Roman" w:hAnsi="Times New Roman" w:hint="default"/>
      </w:rPr>
    </w:lvl>
    <w:lvl w:ilvl="6" w:tplc="EB5CB8F4" w:tentative="1">
      <w:start w:val="1"/>
      <w:numFmt w:val="bullet"/>
      <w:lvlText w:val="-"/>
      <w:lvlJc w:val="left"/>
      <w:pPr>
        <w:tabs>
          <w:tab w:val="num" w:pos="5388"/>
        </w:tabs>
        <w:ind w:left="5388" w:hanging="360"/>
      </w:pPr>
      <w:rPr>
        <w:rFonts w:ascii="Times New Roman" w:hAnsi="Times New Roman" w:hint="default"/>
      </w:rPr>
    </w:lvl>
    <w:lvl w:ilvl="7" w:tplc="E7C64F6C" w:tentative="1">
      <w:start w:val="1"/>
      <w:numFmt w:val="bullet"/>
      <w:lvlText w:val="-"/>
      <w:lvlJc w:val="left"/>
      <w:pPr>
        <w:tabs>
          <w:tab w:val="num" w:pos="6108"/>
        </w:tabs>
        <w:ind w:left="6108" w:hanging="360"/>
      </w:pPr>
      <w:rPr>
        <w:rFonts w:ascii="Times New Roman" w:hAnsi="Times New Roman" w:hint="default"/>
      </w:rPr>
    </w:lvl>
    <w:lvl w:ilvl="8" w:tplc="6AD6F1C8" w:tentative="1">
      <w:start w:val="1"/>
      <w:numFmt w:val="bullet"/>
      <w:lvlText w:val="-"/>
      <w:lvlJc w:val="left"/>
      <w:pPr>
        <w:tabs>
          <w:tab w:val="num" w:pos="6828"/>
        </w:tabs>
        <w:ind w:left="6828" w:hanging="360"/>
      </w:pPr>
      <w:rPr>
        <w:rFonts w:ascii="Times New Roman" w:hAnsi="Times New Roman" w:hint="default"/>
      </w:rPr>
    </w:lvl>
  </w:abstractNum>
  <w:abstractNum w:abstractNumId="43" w15:restartNumberingAfterBreak="0">
    <w:nsid w:val="74455612"/>
    <w:multiLevelType w:val="hybridMultilevel"/>
    <w:tmpl w:val="610EAF2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5313434"/>
    <w:multiLevelType w:val="hybridMultilevel"/>
    <w:tmpl w:val="EA36A5F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76224AAF"/>
    <w:multiLevelType w:val="hybridMultilevel"/>
    <w:tmpl w:val="A2AC1CDC"/>
    <w:lvl w:ilvl="0" w:tplc="828CBA9C">
      <w:start w:val="1"/>
      <w:numFmt w:val="decimal"/>
      <w:lvlText w:val="%1."/>
      <w:lvlJc w:val="left"/>
      <w:pPr>
        <w:ind w:left="1096" w:hanging="67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7A445878"/>
    <w:multiLevelType w:val="multilevel"/>
    <w:tmpl w:val="69B26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5"/>
  </w:num>
  <w:num w:numId="2">
    <w:abstractNumId w:val="14"/>
  </w:num>
  <w:num w:numId="3">
    <w:abstractNumId w:val="5"/>
  </w:num>
  <w:num w:numId="4">
    <w:abstractNumId w:val="34"/>
  </w:num>
  <w:num w:numId="5">
    <w:abstractNumId w:val="3"/>
  </w:num>
  <w:num w:numId="6">
    <w:abstractNumId w:val="22"/>
  </w:num>
  <w:num w:numId="7">
    <w:abstractNumId w:val="33"/>
  </w:num>
  <w:num w:numId="8">
    <w:abstractNumId w:val="25"/>
  </w:num>
  <w:num w:numId="9">
    <w:abstractNumId w:val="26"/>
  </w:num>
  <w:num w:numId="10">
    <w:abstractNumId w:val="17"/>
  </w:num>
  <w:num w:numId="11">
    <w:abstractNumId w:val="45"/>
  </w:num>
  <w:num w:numId="12">
    <w:abstractNumId w:val="2"/>
  </w:num>
  <w:num w:numId="13">
    <w:abstractNumId w:val="41"/>
  </w:num>
  <w:num w:numId="14">
    <w:abstractNumId w:val="38"/>
  </w:num>
  <w:num w:numId="15">
    <w:abstractNumId w:val="4"/>
  </w:num>
  <w:num w:numId="16">
    <w:abstractNumId w:val="43"/>
  </w:num>
  <w:num w:numId="17">
    <w:abstractNumId w:val="11"/>
  </w:num>
  <w:num w:numId="18">
    <w:abstractNumId w:val="31"/>
  </w:num>
  <w:num w:numId="19">
    <w:abstractNumId w:val="1"/>
  </w:num>
  <w:num w:numId="20">
    <w:abstractNumId w:val="37"/>
  </w:num>
  <w:num w:numId="21">
    <w:abstractNumId w:val="9"/>
  </w:num>
  <w:num w:numId="22">
    <w:abstractNumId w:val="8"/>
  </w:num>
  <w:num w:numId="23">
    <w:abstractNumId w:val="24"/>
  </w:num>
  <w:num w:numId="24">
    <w:abstractNumId w:val="39"/>
  </w:num>
  <w:num w:numId="25">
    <w:abstractNumId w:val="0"/>
  </w:num>
  <w:num w:numId="26">
    <w:abstractNumId w:val="30"/>
  </w:num>
  <w:num w:numId="27">
    <w:abstractNumId w:val="18"/>
  </w:num>
  <w:num w:numId="28">
    <w:abstractNumId w:val="40"/>
  </w:num>
  <w:num w:numId="29">
    <w:abstractNumId w:val="23"/>
  </w:num>
  <w:num w:numId="30">
    <w:abstractNumId w:val="28"/>
  </w:num>
  <w:num w:numId="31">
    <w:abstractNumId w:val="21"/>
  </w:num>
  <w:num w:numId="32">
    <w:abstractNumId w:val="16"/>
  </w:num>
  <w:num w:numId="33">
    <w:abstractNumId w:val="36"/>
  </w:num>
  <w:num w:numId="34">
    <w:abstractNumId w:val="29"/>
  </w:num>
  <w:num w:numId="35">
    <w:abstractNumId w:val="42"/>
  </w:num>
  <w:num w:numId="36">
    <w:abstractNumId w:val="7"/>
  </w:num>
  <w:num w:numId="37">
    <w:abstractNumId w:val="6"/>
  </w:num>
  <w:num w:numId="38">
    <w:abstractNumId w:val="46"/>
  </w:num>
  <w:num w:numId="39">
    <w:abstractNumId w:val="15"/>
  </w:num>
  <w:num w:numId="40">
    <w:abstractNumId w:val="10"/>
  </w:num>
  <w:num w:numId="41">
    <w:abstractNumId w:val="27"/>
  </w:num>
  <w:num w:numId="42">
    <w:abstractNumId w:val="32"/>
  </w:num>
  <w:num w:numId="43">
    <w:abstractNumId w:val="20"/>
  </w:num>
  <w:num w:numId="44">
    <w:abstractNumId w:val="19"/>
  </w:num>
  <w:num w:numId="45">
    <w:abstractNumId w:val="13"/>
  </w:num>
  <w:num w:numId="46">
    <w:abstractNumId w:val="1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1638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94"/>
    <w:rsid w:val="00010F69"/>
    <w:rsid w:val="00013CC0"/>
    <w:rsid w:val="00014C65"/>
    <w:rsid w:val="000208C6"/>
    <w:rsid w:val="00022D9B"/>
    <w:rsid w:val="00023C2D"/>
    <w:rsid w:val="000318AD"/>
    <w:rsid w:val="0003216A"/>
    <w:rsid w:val="00036591"/>
    <w:rsid w:val="00053D77"/>
    <w:rsid w:val="00057E5A"/>
    <w:rsid w:val="00062FC0"/>
    <w:rsid w:val="000768BF"/>
    <w:rsid w:val="00081C48"/>
    <w:rsid w:val="0008554B"/>
    <w:rsid w:val="00093D3E"/>
    <w:rsid w:val="00097173"/>
    <w:rsid w:val="000A1077"/>
    <w:rsid w:val="000B1578"/>
    <w:rsid w:val="000C1A1E"/>
    <w:rsid w:val="000C20D7"/>
    <w:rsid w:val="000C23DE"/>
    <w:rsid w:val="000C5207"/>
    <w:rsid w:val="000C6049"/>
    <w:rsid w:val="000D5972"/>
    <w:rsid w:val="000E098A"/>
    <w:rsid w:val="000E175B"/>
    <w:rsid w:val="000E7CF9"/>
    <w:rsid w:val="000F1885"/>
    <w:rsid w:val="0011306F"/>
    <w:rsid w:val="001159B3"/>
    <w:rsid w:val="00124F6B"/>
    <w:rsid w:val="001264F0"/>
    <w:rsid w:val="001271C5"/>
    <w:rsid w:val="00132AE1"/>
    <w:rsid w:val="00141260"/>
    <w:rsid w:val="00142110"/>
    <w:rsid w:val="001470C2"/>
    <w:rsid w:val="001503DF"/>
    <w:rsid w:val="001505C0"/>
    <w:rsid w:val="00150872"/>
    <w:rsid w:val="001565F0"/>
    <w:rsid w:val="00172C8B"/>
    <w:rsid w:val="00180A62"/>
    <w:rsid w:val="00186E04"/>
    <w:rsid w:val="00197BA3"/>
    <w:rsid w:val="001A0187"/>
    <w:rsid w:val="001B4BE5"/>
    <w:rsid w:val="001C4540"/>
    <w:rsid w:val="001D3486"/>
    <w:rsid w:val="001D6FDA"/>
    <w:rsid w:val="001D7BE2"/>
    <w:rsid w:val="001F0675"/>
    <w:rsid w:val="001F5A4F"/>
    <w:rsid w:val="001F6A27"/>
    <w:rsid w:val="001F78C5"/>
    <w:rsid w:val="00210A63"/>
    <w:rsid w:val="002127A2"/>
    <w:rsid w:val="00214116"/>
    <w:rsid w:val="002168D3"/>
    <w:rsid w:val="00216AF3"/>
    <w:rsid w:val="002179BD"/>
    <w:rsid w:val="00222F28"/>
    <w:rsid w:val="00225F9B"/>
    <w:rsid w:val="00233A5A"/>
    <w:rsid w:val="002432FA"/>
    <w:rsid w:val="0024331B"/>
    <w:rsid w:val="002450C6"/>
    <w:rsid w:val="00250372"/>
    <w:rsid w:val="00252A03"/>
    <w:rsid w:val="00252A09"/>
    <w:rsid w:val="00257069"/>
    <w:rsid w:val="00267DF5"/>
    <w:rsid w:val="00277DE7"/>
    <w:rsid w:val="002824C2"/>
    <w:rsid w:val="00287DE8"/>
    <w:rsid w:val="002904CC"/>
    <w:rsid w:val="002A5C65"/>
    <w:rsid w:val="002C021D"/>
    <w:rsid w:val="002C2BB9"/>
    <w:rsid w:val="002C5CC0"/>
    <w:rsid w:val="002F31AC"/>
    <w:rsid w:val="002F7E2D"/>
    <w:rsid w:val="00312EE3"/>
    <w:rsid w:val="0031452E"/>
    <w:rsid w:val="00352A7A"/>
    <w:rsid w:val="00353D99"/>
    <w:rsid w:val="00357822"/>
    <w:rsid w:val="00396DF8"/>
    <w:rsid w:val="003A6FA8"/>
    <w:rsid w:val="003B3F09"/>
    <w:rsid w:val="003B69BB"/>
    <w:rsid w:val="003C24F2"/>
    <w:rsid w:val="003C7FB3"/>
    <w:rsid w:val="003F2B7E"/>
    <w:rsid w:val="0043007F"/>
    <w:rsid w:val="004357FB"/>
    <w:rsid w:val="00445FEA"/>
    <w:rsid w:val="00453030"/>
    <w:rsid w:val="00463276"/>
    <w:rsid w:val="0048030E"/>
    <w:rsid w:val="0049187A"/>
    <w:rsid w:val="0049540A"/>
    <w:rsid w:val="004974DC"/>
    <w:rsid w:val="004A010B"/>
    <w:rsid w:val="004A3F7D"/>
    <w:rsid w:val="004B1B44"/>
    <w:rsid w:val="004C1888"/>
    <w:rsid w:val="004C1B86"/>
    <w:rsid w:val="004C590D"/>
    <w:rsid w:val="004C622A"/>
    <w:rsid w:val="004D21FC"/>
    <w:rsid w:val="004D5158"/>
    <w:rsid w:val="004E75F1"/>
    <w:rsid w:val="004E7964"/>
    <w:rsid w:val="004F266F"/>
    <w:rsid w:val="004F2681"/>
    <w:rsid w:val="004F5162"/>
    <w:rsid w:val="004F7975"/>
    <w:rsid w:val="005062FC"/>
    <w:rsid w:val="00512029"/>
    <w:rsid w:val="0052290D"/>
    <w:rsid w:val="005340C9"/>
    <w:rsid w:val="0054320F"/>
    <w:rsid w:val="00553E0A"/>
    <w:rsid w:val="005655BC"/>
    <w:rsid w:val="00576589"/>
    <w:rsid w:val="00593BE2"/>
    <w:rsid w:val="00595D41"/>
    <w:rsid w:val="0059681F"/>
    <w:rsid w:val="005B0D29"/>
    <w:rsid w:val="005B28F5"/>
    <w:rsid w:val="005B5B2B"/>
    <w:rsid w:val="005C6F7D"/>
    <w:rsid w:val="005E45B9"/>
    <w:rsid w:val="005E7746"/>
    <w:rsid w:val="005F1344"/>
    <w:rsid w:val="00605C8F"/>
    <w:rsid w:val="0061305A"/>
    <w:rsid w:val="00613D66"/>
    <w:rsid w:val="00623BA2"/>
    <w:rsid w:val="0062749F"/>
    <w:rsid w:val="00634B94"/>
    <w:rsid w:val="00641C92"/>
    <w:rsid w:val="00647272"/>
    <w:rsid w:val="006601B4"/>
    <w:rsid w:val="0066259E"/>
    <w:rsid w:val="006837D9"/>
    <w:rsid w:val="00685E83"/>
    <w:rsid w:val="006C774A"/>
    <w:rsid w:val="006D2B33"/>
    <w:rsid w:val="006D745A"/>
    <w:rsid w:val="006D7C62"/>
    <w:rsid w:val="006E2017"/>
    <w:rsid w:val="006F7FCD"/>
    <w:rsid w:val="007006D4"/>
    <w:rsid w:val="00701D19"/>
    <w:rsid w:val="00707D17"/>
    <w:rsid w:val="007303D3"/>
    <w:rsid w:val="00731FBA"/>
    <w:rsid w:val="0074661E"/>
    <w:rsid w:val="00747B48"/>
    <w:rsid w:val="0075504E"/>
    <w:rsid w:val="00755310"/>
    <w:rsid w:val="0076088F"/>
    <w:rsid w:val="007622A1"/>
    <w:rsid w:val="007662C4"/>
    <w:rsid w:val="00796BF0"/>
    <w:rsid w:val="007A38DD"/>
    <w:rsid w:val="007C132E"/>
    <w:rsid w:val="007D0C86"/>
    <w:rsid w:val="007D1D20"/>
    <w:rsid w:val="007F673F"/>
    <w:rsid w:val="007F7BF4"/>
    <w:rsid w:val="008144C6"/>
    <w:rsid w:val="00823E80"/>
    <w:rsid w:val="008517D3"/>
    <w:rsid w:val="00863DFE"/>
    <w:rsid w:val="00865FD2"/>
    <w:rsid w:val="00867D6A"/>
    <w:rsid w:val="00884D3C"/>
    <w:rsid w:val="008853B3"/>
    <w:rsid w:val="00894293"/>
    <w:rsid w:val="008A52B8"/>
    <w:rsid w:val="008B1929"/>
    <w:rsid w:val="008D608A"/>
    <w:rsid w:val="008E6496"/>
    <w:rsid w:val="00900A8A"/>
    <w:rsid w:val="0092258C"/>
    <w:rsid w:val="00931369"/>
    <w:rsid w:val="0093200D"/>
    <w:rsid w:val="00935A5C"/>
    <w:rsid w:val="00936581"/>
    <w:rsid w:val="009442D6"/>
    <w:rsid w:val="00950905"/>
    <w:rsid w:val="0095206C"/>
    <w:rsid w:val="00953876"/>
    <w:rsid w:val="00957A39"/>
    <w:rsid w:val="00965283"/>
    <w:rsid w:val="00980DA6"/>
    <w:rsid w:val="009822B2"/>
    <w:rsid w:val="0098514B"/>
    <w:rsid w:val="009A447B"/>
    <w:rsid w:val="009A614F"/>
    <w:rsid w:val="009D20EB"/>
    <w:rsid w:val="009E266B"/>
    <w:rsid w:val="009F0B89"/>
    <w:rsid w:val="009F5138"/>
    <w:rsid w:val="00A14B04"/>
    <w:rsid w:val="00A15A15"/>
    <w:rsid w:val="00A32ABE"/>
    <w:rsid w:val="00A40CD8"/>
    <w:rsid w:val="00A53C4A"/>
    <w:rsid w:val="00A6166A"/>
    <w:rsid w:val="00A617A7"/>
    <w:rsid w:val="00A70D73"/>
    <w:rsid w:val="00A82A3C"/>
    <w:rsid w:val="00A90627"/>
    <w:rsid w:val="00A91A13"/>
    <w:rsid w:val="00AA1819"/>
    <w:rsid w:val="00AA3279"/>
    <w:rsid w:val="00AD7F34"/>
    <w:rsid w:val="00AF1CB7"/>
    <w:rsid w:val="00B01614"/>
    <w:rsid w:val="00B10C97"/>
    <w:rsid w:val="00B134BC"/>
    <w:rsid w:val="00B14D80"/>
    <w:rsid w:val="00B202D8"/>
    <w:rsid w:val="00B277B1"/>
    <w:rsid w:val="00B30A11"/>
    <w:rsid w:val="00B33180"/>
    <w:rsid w:val="00B4698E"/>
    <w:rsid w:val="00B509DE"/>
    <w:rsid w:val="00B54156"/>
    <w:rsid w:val="00B56E99"/>
    <w:rsid w:val="00B60252"/>
    <w:rsid w:val="00B73D82"/>
    <w:rsid w:val="00B75166"/>
    <w:rsid w:val="00B8000C"/>
    <w:rsid w:val="00B80B6A"/>
    <w:rsid w:val="00B82029"/>
    <w:rsid w:val="00B83304"/>
    <w:rsid w:val="00B852E8"/>
    <w:rsid w:val="00B95746"/>
    <w:rsid w:val="00B95D8D"/>
    <w:rsid w:val="00B97FAF"/>
    <w:rsid w:val="00BA34FA"/>
    <w:rsid w:val="00BB5194"/>
    <w:rsid w:val="00BB609F"/>
    <w:rsid w:val="00BC0A74"/>
    <w:rsid w:val="00BC1343"/>
    <w:rsid w:val="00BD0816"/>
    <w:rsid w:val="00BD6A01"/>
    <w:rsid w:val="00BE0B0A"/>
    <w:rsid w:val="00BE6DC4"/>
    <w:rsid w:val="00BE7B54"/>
    <w:rsid w:val="00BF7802"/>
    <w:rsid w:val="00C00B68"/>
    <w:rsid w:val="00C01F69"/>
    <w:rsid w:val="00C0326C"/>
    <w:rsid w:val="00C05B73"/>
    <w:rsid w:val="00C06762"/>
    <w:rsid w:val="00C1083A"/>
    <w:rsid w:val="00C1398A"/>
    <w:rsid w:val="00C30EC4"/>
    <w:rsid w:val="00C362F5"/>
    <w:rsid w:val="00C42946"/>
    <w:rsid w:val="00C43E5B"/>
    <w:rsid w:val="00C50118"/>
    <w:rsid w:val="00C50C2F"/>
    <w:rsid w:val="00C5384B"/>
    <w:rsid w:val="00C54008"/>
    <w:rsid w:val="00C577B9"/>
    <w:rsid w:val="00C63015"/>
    <w:rsid w:val="00C64436"/>
    <w:rsid w:val="00C771CD"/>
    <w:rsid w:val="00C858D6"/>
    <w:rsid w:val="00C9049F"/>
    <w:rsid w:val="00CA16CF"/>
    <w:rsid w:val="00CA7570"/>
    <w:rsid w:val="00CB0190"/>
    <w:rsid w:val="00CB5F30"/>
    <w:rsid w:val="00CC5953"/>
    <w:rsid w:val="00CE10BF"/>
    <w:rsid w:val="00CF4197"/>
    <w:rsid w:val="00D017E0"/>
    <w:rsid w:val="00D02898"/>
    <w:rsid w:val="00D10310"/>
    <w:rsid w:val="00D22134"/>
    <w:rsid w:val="00D26793"/>
    <w:rsid w:val="00D27722"/>
    <w:rsid w:val="00D27753"/>
    <w:rsid w:val="00D36190"/>
    <w:rsid w:val="00D42EC0"/>
    <w:rsid w:val="00D43F42"/>
    <w:rsid w:val="00D520B8"/>
    <w:rsid w:val="00D55567"/>
    <w:rsid w:val="00D65D8F"/>
    <w:rsid w:val="00D66364"/>
    <w:rsid w:val="00D73491"/>
    <w:rsid w:val="00D73E0D"/>
    <w:rsid w:val="00D7451F"/>
    <w:rsid w:val="00D87B92"/>
    <w:rsid w:val="00D90969"/>
    <w:rsid w:val="00D92E1E"/>
    <w:rsid w:val="00D9369A"/>
    <w:rsid w:val="00DA6E0B"/>
    <w:rsid w:val="00DB0A23"/>
    <w:rsid w:val="00DB2B90"/>
    <w:rsid w:val="00DC2EE6"/>
    <w:rsid w:val="00DE355A"/>
    <w:rsid w:val="00DE6991"/>
    <w:rsid w:val="00DF26AB"/>
    <w:rsid w:val="00E105F7"/>
    <w:rsid w:val="00E12563"/>
    <w:rsid w:val="00E1542F"/>
    <w:rsid w:val="00E21A6F"/>
    <w:rsid w:val="00E22E0F"/>
    <w:rsid w:val="00E24116"/>
    <w:rsid w:val="00E24FE9"/>
    <w:rsid w:val="00E477E8"/>
    <w:rsid w:val="00E52C86"/>
    <w:rsid w:val="00E538C6"/>
    <w:rsid w:val="00E53C36"/>
    <w:rsid w:val="00E56B49"/>
    <w:rsid w:val="00E74569"/>
    <w:rsid w:val="00E85DB2"/>
    <w:rsid w:val="00E9203B"/>
    <w:rsid w:val="00EB71F5"/>
    <w:rsid w:val="00ED1A2F"/>
    <w:rsid w:val="00ED2775"/>
    <w:rsid w:val="00ED3F59"/>
    <w:rsid w:val="00ED5A28"/>
    <w:rsid w:val="00EE39EB"/>
    <w:rsid w:val="00EE630A"/>
    <w:rsid w:val="00EF75A0"/>
    <w:rsid w:val="00F1068B"/>
    <w:rsid w:val="00F1282B"/>
    <w:rsid w:val="00F12A13"/>
    <w:rsid w:val="00F42E98"/>
    <w:rsid w:val="00F45763"/>
    <w:rsid w:val="00F46BC8"/>
    <w:rsid w:val="00F57749"/>
    <w:rsid w:val="00F57A0B"/>
    <w:rsid w:val="00F611D0"/>
    <w:rsid w:val="00F719D8"/>
    <w:rsid w:val="00F7774C"/>
    <w:rsid w:val="00F80850"/>
    <w:rsid w:val="00F83D2A"/>
    <w:rsid w:val="00F90312"/>
    <w:rsid w:val="00F948B0"/>
    <w:rsid w:val="00FA504B"/>
    <w:rsid w:val="00FA7FA2"/>
    <w:rsid w:val="00FB0115"/>
    <w:rsid w:val="00FD3910"/>
    <w:rsid w:val="00FE2257"/>
    <w:rsid w:val="00FF1283"/>
    <w:rsid w:val="00FF2F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o:shapedefaults>
    <o:shapelayout v:ext="edit">
      <o:idmap v:ext="edit" data="1"/>
    </o:shapelayout>
  </w:shapeDefaults>
  <w:decimalSymbol w:val=","/>
  <w:listSeparator w:val=";"/>
  <w14:docId w14:val="4912EB3B"/>
  <w15:docId w15:val="{6BEC225A-AECE-491B-BEFF-C56CFC94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23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6472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unhideWhenUsed/>
    <w:qFormat/>
    <w:rsid w:val="006472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B519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B5194"/>
  </w:style>
  <w:style w:type="paragraph" w:styleId="Rodap">
    <w:name w:val="footer"/>
    <w:basedOn w:val="Normal"/>
    <w:link w:val="RodapCarter"/>
    <w:uiPriority w:val="99"/>
    <w:unhideWhenUsed/>
    <w:rsid w:val="00BB519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B5194"/>
  </w:style>
  <w:style w:type="paragraph" w:styleId="Textodebalo">
    <w:name w:val="Balloon Text"/>
    <w:basedOn w:val="Normal"/>
    <w:link w:val="TextodebaloCarter"/>
    <w:uiPriority w:val="99"/>
    <w:semiHidden/>
    <w:unhideWhenUsed/>
    <w:rsid w:val="00BB519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B5194"/>
    <w:rPr>
      <w:rFonts w:ascii="Tahoma" w:hAnsi="Tahoma" w:cs="Tahoma"/>
      <w:sz w:val="16"/>
      <w:szCs w:val="16"/>
    </w:rPr>
  </w:style>
  <w:style w:type="paragraph" w:customStyle="1" w:styleId="Default">
    <w:name w:val="Default"/>
    <w:rsid w:val="00BB5194"/>
    <w:pPr>
      <w:autoSpaceDE w:val="0"/>
      <w:autoSpaceDN w:val="0"/>
      <w:adjustRightInd w:val="0"/>
      <w:spacing w:after="0" w:line="240" w:lineRule="auto"/>
    </w:pPr>
    <w:rPr>
      <w:rFonts w:ascii="Calibri" w:hAnsi="Calibri" w:cs="Calibri"/>
      <w:color w:val="000000"/>
      <w:sz w:val="24"/>
      <w:szCs w:val="24"/>
    </w:rPr>
  </w:style>
  <w:style w:type="paragraph" w:styleId="SemEspaamento">
    <w:name w:val="No Spacing"/>
    <w:link w:val="SemEspaamentoCarter"/>
    <w:uiPriority w:val="1"/>
    <w:qFormat/>
    <w:rsid w:val="0095206C"/>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95206C"/>
    <w:rPr>
      <w:rFonts w:eastAsiaTheme="minorEastAsia"/>
      <w:lang w:eastAsia="pt-PT"/>
    </w:rPr>
  </w:style>
  <w:style w:type="paragraph" w:styleId="Ttulo">
    <w:name w:val="Title"/>
    <w:basedOn w:val="Normal"/>
    <w:next w:val="Normal"/>
    <w:link w:val="TtuloCarter"/>
    <w:uiPriority w:val="10"/>
    <w:qFormat/>
    <w:rsid w:val="00B13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134BC"/>
    <w:rPr>
      <w:rFonts w:asciiTheme="majorHAnsi" w:eastAsiaTheme="majorEastAsia" w:hAnsiTheme="majorHAnsi" w:cstheme="majorBidi"/>
      <w:color w:val="17365D" w:themeColor="text2" w:themeShade="BF"/>
      <w:spacing w:val="5"/>
      <w:kern w:val="28"/>
      <w:sz w:val="52"/>
      <w:szCs w:val="52"/>
    </w:rPr>
  </w:style>
  <w:style w:type="character" w:customStyle="1" w:styleId="Ttulo1Carter">
    <w:name w:val="Título 1 Caráter"/>
    <w:basedOn w:val="Tipodeletrapredefinidodopargrafo"/>
    <w:link w:val="Ttulo1"/>
    <w:uiPriority w:val="9"/>
    <w:rsid w:val="00623BA2"/>
    <w:rPr>
      <w:rFonts w:asciiTheme="majorHAnsi" w:eastAsiaTheme="majorEastAsia" w:hAnsiTheme="majorHAnsi" w:cstheme="majorBidi"/>
      <w:b/>
      <w:bCs/>
      <w:color w:val="365F91" w:themeColor="accent1" w:themeShade="BF"/>
      <w:sz w:val="28"/>
      <w:szCs w:val="28"/>
    </w:rPr>
  </w:style>
  <w:style w:type="paragraph" w:styleId="ndice1">
    <w:name w:val="toc 1"/>
    <w:basedOn w:val="Normal"/>
    <w:next w:val="Normal"/>
    <w:autoRedefine/>
    <w:uiPriority w:val="39"/>
    <w:unhideWhenUsed/>
    <w:rsid w:val="00C05B73"/>
    <w:pPr>
      <w:tabs>
        <w:tab w:val="right" w:leader="dot" w:pos="9346"/>
      </w:tabs>
      <w:spacing w:after="100"/>
    </w:pPr>
  </w:style>
  <w:style w:type="character" w:styleId="Hiperligao">
    <w:name w:val="Hyperlink"/>
    <w:basedOn w:val="Tipodeletrapredefinidodopargrafo"/>
    <w:uiPriority w:val="99"/>
    <w:unhideWhenUsed/>
    <w:rsid w:val="00623BA2"/>
    <w:rPr>
      <w:color w:val="0000FF" w:themeColor="hyperlink"/>
      <w:u w:val="single"/>
    </w:rPr>
  </w:style>
  <w:style w:type="table" w:styleId="TabelacomGrelha">
    <w:name w:val="Table Grid"/>
    <w:basedOn w:val="Tabelanormal"/>
    <w:uiPriority w:val="59"/>
    <w:rsid w:val="00623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1,Heading3,01DGAIED-Parágrafo da Lista,Tabela,numbered list,2,OBC Bullet,Normal 1,Task Body,Viñetas (Inicio Parrafo),Paragrafo elenco,3 Txt tabla,Zerrenda-paragrafoa,Fiche List Paragraph,Dot pt,F5 List Paragraph,List Paragraph1"/>
    <w:basedOn w:val="Normal"/>
    <w:link w:val="PargrafodaListaCarter"/>
    <w:uiPriority w:val="1"/>
    <w:qFormat/>
    <w:rsid w:val="00D43F42"/>
    <w:pPr>
      <w:ind w:left="720"/>
      <w:contextualSpacing/>
    </w:pPr>
  </w:style>
  <w:style w:type="character" w:styleId="Refdecomentrio">
    <w:name w:val="annotation reference"/>
    <w:basedOn w:val="Tipodeletrapredefinidodopargrafo"/>
    <w:uiPriority w:val="99"/>
    <w:semiHidden/>
    <w:unhideWhenUsed/>
    <w:rsid w:val="00B56E99"/>
    <w:rPr>
      <w:sz w:val="16"/>
      <w:szCs w:val="16"/>
    </w:rPr>
  </w:style>
  <w:style w:type="paragraph" w:styleId="Textodecomentrio">
    <w:name w:val="annotation text"/>
    <w:basedOn w:val="Normal"/>
    <w:link w:val="TextodecomentrioCarter"/>
    <w:uiPriority w:val="99"/>
    <w:semiHidden/>
    <w:unhideWhenUsed/>
    <w:rsid w:val="00B56E9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56E99"/>
    <w:rPr>
      <w:sz w:val="20"/>
      <w:szCs w:val="20"/>
    </w:rPr>
  </w:style>
  <w:style w:type="paragraph" w:styleId="Assuntodecomentrio">
    <w:name w:val="annotation subject"/>
    <w:basedOn w:val="Textodecomentrio"/>
    <w:next w:val="Textodecomentrio"/>
    <w:link w:val="AssuntodecomentrioCarter"/>
    <w:uiPriority w:val="99"/>
    <w:semiHidden/>
    <w:unhideWhenUsed/>
    <w:rsid w:val="00B56E99"/>
    <w:rPr>
      <w:b/>
      <w:bCs/>
    </w:rPr>
  </w:style>
  <w:style w:type="character" w:customStyle="1" w:styleId="AssuntodecomentrioCarter">
    <w:name w:val="Assunto de comentário Caráter"/>
    <w:basedOn w:val="TextodecomentrioCarter"/>
    <w:link w:val="Assuntodecomentrio"/>
    <w:uiPriority w:val="99"/>
    <w:semiHidden/>
    <w:rsid w:val="00B56E99"/>
    <w:rPr>
      <w:b/>
      <w:bCs/>
      <w:sz w:val="20"/>
      <w:szCs w:val="20"/>
    </w:rPr>
  </w:style>
  <w:style w:type="paragraph" w:styleId="Reviso">
    <w:name w:val="Revision"/>
    <w:hidden/>
    <w:uiPriority w:val="99"/>
    <w:semiHidden/>
    <w:rsid w:val="00A82A3C"/>
    <w:pPr>
      <w:spacing w:after="0" w:line="240" w:lineRule="auto"/>
    </w:pPr>
  </w:style>
  <w:style w:type="character" w:customStyle="1" w:styleId="PargrafodaListaCarter">
    <w:name w:val="Parágrafo da Lista Caráter"/>
    <w:aliases w:val="Lista 1 Caráter,Heading3 Caráter,01DGAIED-Parágrafo da Lista Caráter,Tabela Caráter,numbered list Caráter,2 Caráter,OBC Bullet Caráter,Normal 1 Caráter,Task Body Caráter,Viñetas (Inicio Parrafo) Caráter,3 Txt tabla Caráter"/>
    <w:basedOn w:val="Tipodeletrapredefinidodopargrafo"/>
    <w:link w:val="PargrafodaLista"/>
    <w:uiPriority w:val="1"/>
    <w:qFormat/>
    <w:locked/>
    <w:rsid w:val="00C01F69"/>
  </w:style>
  <w:style w:type="paragraph" w:styleId="Cabealhodondice">
    <w:name w:val="TOC Heading"/>
    <w:basedOn w:val="Ttulo1"/>
    <w:next w:val="Normal"/>
    <w:uiPriority w:val="39"/>
    <w:unhideWhenUsed/>
    <w:qFormat/>
    <w:rsid w:val="00EE630A"/>
    <w:pPr>
      <w:spacing w:before="240" w:line="259" w:lineRule="auto"/>
      <w:outlineLvl w:val="9"/>
    </w:pPr>
    <w:rPr>
      <w:b w:val="0"/>
      <w:bCs w:val="0"/>
      <w:sz w:val="32"/>
      <w:szCs w:val="32"/>
      <w:lang w:eastAsia="pt-PT"/>
    </w:rPr>
  </w:style>
  <w:style w:type="paragraph" w:styleId="Subttulo">
    <w:name w:val="Subtitle"/>
    <w:basedOn w:val="Normal"/>
    <w:next w:val="Normal"/>
    <w:link w:val="SubttuloCarter"/>
    <w:uiPriority w:val="11"/>
    <w:qFormat/>
    <w:rsid w:val="00647272"/>
    <w:pPr>
      <w:numPr>
        <w:ilvl w:val="1"/>
      </w:numPr>
      <w:spacing w:after="160"/>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47272"/>
    <w:rPr>
      <w:rFonts w:eastAsiaTheme="minorEastAsia"/>
      <w:color w:val="5A5A5A" w:themeColor="text1" w:themeTint="A5"/>
      <w:spacing w:val="15"/>
    </w:rPr>
  </w:style>
  <w:style w:type="character" w:customStyle="1" w:styleId="Ttulo2Carter">
    <w:name w:val="Título 2 Caráter"/>
    <w:basedOn w:val="Tipodeletrapredefinidodopargrafo"/>
    <w:link w:val="Ttulo2"/>
    <w:uiPriority w:val="9"/>
    <w:rsid w:val="00647272"/>
    <w:rPr>
      <w:rFonts w:asciiTheme="majorHAnsi" w:eastAsiaTheme="majorEastAsia" w:hAnsiTheme="majorHAnsi" w:cstheme="majorBidi"/>
      <w:color w:val="365F91" w:themeColor="accent1" w:themeShade="BF"/>
      <w:sz w:val="26"/>
      <w:szCs w:val="26"/>
    </w:rPr>
  </w:style>
  <w:style w:type="character" w:customStyle="1" w:styleId="Ttulo3Carter">
    <w:name w:val="Título 3 Caráter"/>
    <w:basedOn w:val="Tipodeletrapredefinidodopargrafo"/>
    <w:link w:val="Ttulo3"/>
    <w:uiPriority w:val="9"/>
    <w:rsid w:val="00647272"/>
    <w:rPr>
      <w:rFonts w:asciiTheme="majorHAnsi" w:eastAsiaTheme="majorEastAsia" w:hAnsiTheme="majorHAnsi" w:cstheme="majorBidi"/>
      <w:color w:val="243F60" w:themeColor="accent1" w:themeShade="7F"/>
      <w:sz w:val="24"/>
      <w:szCs w:val="24"/>
    </w:rPr>
  </w:style>
  <w:style w:type="paragraph" w:styleId="ndice2">
    <w:name w:val="toc 2"/>
    <w:basedOn w:val="Normal"/>
    <w:next w:val="Normal"/>
    <w:autoRedefine/>
    <w:uiPriority w:val="39"/>
    <w:unhideWhenUsed/>
    <w:rsid w:val="00AA1819"/>
    <w:pPr>
      <w:spacing w:after="100"/>
      <w:ind w:left="220"/>
    </w:pPr>
  </w:style>
  <w:style w:type="paragraph" w:styleId="ndice3">
    <w:name w:val="toc 3"/>
    <w:basedOn w:val="Normal"/>
    <w:next w:val="Normal"/>
    <w:autoRedefine/>
    <w:uiPriority w:val="39"/>
    <w:unhideWhenUsed/>
    <w:rsid w:val="00AA1819"/>
    <w:pPr>
      <w:spacing w:after="100"/>
      <w:ind w:left="440"/>
    </w:pPr>
  </w:style>
  <w:style w:type="character" w:styleId="nfase">
    <w:name w:val="Emphasis"/>
    <w:basedOn w:val="Tipodeletrapredefinidodopargrafo"/>
    <w:uiPriority w:val="20"/>
    <w:qFormat/>
    <w:rsid w:val="005062FC"/>
    <w:rPr>
      <w:i/>
      <w:iCs/>
    </w:rPr>
  </w:style>
  <w:style w:type="character" w:styleId="MenoNoResolvida">
    <w:name w:val="Unresolved Mention"/>
    <w:basedOn w:val="Tipodeletrapredefinidodopargrafo"/>
    <w:uiPriority w:val="99"/>
    <w:semiHidden/>
    <w:unhideWhenUsed/>
    <w:rsid w:val="0057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98676">
      <w:bodyDiv w:val="1"/>
      <w:marLeft w:val="0"/>
      <w:marRight w:val="0"/>
      <w:marTop w:val="0"/>
      <w:marBottom w:val="0"/>
      <w:divBdr>
        <w:top w:val="none" w:sz="0" w:space="0" w:color="auto"/>
        <w:left w:val="none" w:sz="0" w:space="0" w:color="auto"/>
        <w:bottom w:val="none" w:sz="0" w:space="0" w:color="auto"/>
        <w:right w:val="none" w:sz="0" w:space="0" w:color="auto"/>
      </w:divBdr>
    </w:div>
    <w:div w:id="17013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uperarportugal.gov.pt/wp-content/uploads/2021/12/Orientacao-Tecnica-No3_C4-i01_2021-3-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cuperarportugal.gov.pt/wp-content/uploads/2021/12/Orientacao-Tecnica-No1_C04_i01_2021-2.pdf" TargetMode="External"/><Relationship Id="rId4" Type="http://schemas.openxmlformats.org/officeDocument/2006/relationships/settings" Target="settings.xml"/><Relationship Id="rId9" Type="http://schemas.openxmlformats.org/officeDocument/2006/relationships/hyperlink" Target="https://recuperarportugal.gov.pt/wp-content/uploads/2021/12/Orientacao-Tecnica-No2_C04-i01_2021-2.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2D85-9A67-47BE-80F4-68D5956B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1329</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Nuno Dias</dc:creator>
  <cp:lastModifiedBy>Dias, Nuno</cp:lastModifiedBy>
  <cp:revision>6</cp:revision>
  <cp:lastPrinted>2022-01-07T16:51:00Z</cp:lastPrinted>
  <dcterms:created xsi:type="dcterms:W3CDTF">2022-03-03T03:30:00Z</dcterms:created>
  <dcterms:modified xsi:type="dcterms:W3CDTF">2022-03-03T03:33:00Z</dcterms:modified>
</cp:coreProperties>
</file>